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9558" w:type="dxa"/>
        <w:tblLook w:val="04A0" w:firstRow="1" w:lastRow="0" w:firstColumn="1" w:lastColumn="0" w:noHBand="0" w:noVBand="1"/>
      </w:tblPr>
      <w:tblGrid>
        <w:gridCol w:w="2268"/>
        <w:gridCol w:w="2070"/>
        <w:gridCol w:w="5220"/>
      </w:tblGrid>
      <w:tr w:rsidR="00EC0DB8" w:rsidRPr="00DA2D82" w:rsidTr="00DE6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C0DB8" w:rsidRPr="00DA2D82" w:rsidRDefault="00EC0DB8" w:rsidP="00DE6B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2D82">
              <w:rPr>
                <w:rFonts w:asciiTheme="minorHAnsi" w:hAnsiTheme="minorHAnsi"/>
                <w:sz w:val="24"/>
                <w:szCs w:val="24"/>
              </w:rPr>
              <w:t>Predictor Category</w:t>
            </w:r>
          </w:p>
        </w:tc>
        <w:tc>
          <w:tcPr>
            <w:tcW w:w="2070" w:type="dxa"/>
            <w:vAlign w:val="center"/>
          </w:tcPr>
          <w:p w:rsidR="00EC0DB8" w:rsidRPr="00DA2D82" w:rsidRDefault="00EC0DB8" w:rsidP="00DE6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A2D82">
              <w:rPr>
                <w:rFonts w:asciiTheme="minorHAnsi" w:hAnsiTheme="minorHAnsi"/>
                <w:sz w:val="24"/>
                <w:szCs w:val="24"/>
              </w:rPr>
              <w:t>Outcome Area(s)</w:t>
            </w:r>
          </w:p>
        </w:tc>
        <w:tc>
          <w:tcPr>
            <w:tcW w:w="5220" w:type="dxa"/>
            <w:vAlign w:val="center"/>
          </w:tcPr>
          <w:p w:rsidR="00EC0DB8" w:rsidRPr="00DA2D82" w:rsidRDefault="00EC0DB8" w:rsidP="00DE6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A2D82">
              <w:rPr>
                <w:rFonts w:asciiTheme="minorHAnsi" w:hAnsiTheme="minorHAnsi"/>
                <w:sz w:val="24"/>
                <w:szCs w:val="24"/>
              </w:rPr>
              <w:t>Description</w:t>
            </w:r>
          </w:p>
        </w:tc>
      </w:tr>
      <w:tr w:rsidR="00EC0DB8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Career Awareness</w:t>
            </w:r>
          </w:p>
        </w:tc>
        <w:tc>
          <w:tcPr>
            <w:tcW w:w="2070" w:type="dxa"/>
          </w:tcPr>
          <w:p w:rsidR="00EC0DB8" w:rsidRPr="00DA2D82" w:rsidRDefault="00EC0DB8" w:rsidP="001241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1241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EC0DB8" w:rsidRPr="00DA2D82" w:rsidRDefault="00EC0DB8" w:rsidP="0012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>Students in a School to Work Transition Program who exited school with high career awareness skills were more likely to be engaged in post-school employment or education.</w:t>
            </w:r>
          </w:p>
        </w:tc>
      </w:tr>
      <w:tr w:rsidR="00EC0DB8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Community Experiences</w:t>
            </w:r>
          </w:p>
        </w:tc>
        <w:tc>
          <w:tcPr>
            <w:tcW w:w="2070" w:type="dxa"/>
          </w:tcPr>
          <w:p w:rsidR="00EC0DB8" w:rsidRPr="00DA2D82" w:rsidRDefault="00EC0DB8" w:rsidP="0012414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>Employment</w:t>
            </w:r>
          </w:p>
        </w:tc>
        <w:tc>
          <w:tcPr>
            <w:tcW w:w="5220" w:type="dxa"/>
          </w:tcPr>
          <w:p w:rsidR="00EC0DB8" w:rsidRPr="00DA2D82" w:rsidRDefault="00EC0DB8" w:rsidP="0012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participated in </w:t>
            </w:r>
            <w:r w:rsidRPr="00DA2D82">
              <w:t>community-</w:t>
            </w:r>
            <w:r w:rsidRPr="00DA2D82">
              <w:t xml:space="preserve"> based </w:t>
            </w:r>
            <w:r w:rsidRPr="00DA2D82">
              <w:t xml:space="preserve">training </w:t>
            </w:r>
            <w:r w:rsidRPr="00DA2D82">
              <w:t xml:space="preserve">in natural environments focused on social skills, domestic skills, transportation, on-the-job training were more likely to be engaged in post-school employment. </w:t>
            </w:r>
          </w:p>
        </w:tc>
      </w:tr>
      <w:tr w:rsidR="00EC0DB8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Exit Exam Requirements/High School Diploma Status 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>Employment</w:t>
            </w:r>
          </w:p>
        </w:tc>
        <w:tc>
          <w:tcPr>
            <w:tcW w:w="5220" w:type="dxa"/>
          </w:tcPr>
          <w:p w:rsidR="00EC0DB8" w:rsidRPr="00DA2D82" w:rsidRDefault="00EC0DB8" w:rsidP="00124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who had high scores (adaptive, academic, self-care, GPA) and received a diploma were more likely to be engaged in post-school employment. </w:t>
            </w:r>
          </w:p>
        </w:tc>
      </w:tr>
      <w:tr w:rsidR="00EC0DB8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 w:rsidP="00124141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Inclusion in General  </w:t>
            </w:r>
            <w:r w:rsidRPr="00DA2D82">
              <w:rPr>
                <w:rFonts w:asciiTheme="minorHAnsi" w:hAnsiTheme="minorHAnsi"/>
              </w:rPr>
              <w:t>Education</w:t>
            </w:r>
          </w:p>
        </w:tc>
        <w:tc>
          <w:tcPr>
            <w:tcW w:w="2070" w:type="dxa"/>
          </w:tcPr>
          <w:p w:rsidR="00EC0DB8" w:rsidRPr="00DA2D82" w:rsidRDefault="00EC0DB8" w:rsidP="0012414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12414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  <w:p w:rsidR="00EC0DB8" w:rsidRPr="00DA2D82" w:rsidRDefault="00EC0DB8" w:rsidP="0012414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Independent Living </w:t>
            </w:r>
          </w:p>
        </w:tc>
        <w:tc>
          <w:tcPr>
            <w:tcW w:w="5220" w:type="dxa"/>
          </w:tcPr>
          <w:p w:rsidR="00EC0DB8" w:rsidRPr="00DA2D82" w:rsidRDefault="00EC0DB8" w:rsidP="001241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participated in regular academics were 5 times more likely to participate in postsecondary </w:t>
            </w:r>
            <w:r w:rsidRPr="00DA2D82">
              <w:t>education</w:t>
            </w:r>
            <w:r w:rsidRPr="00DA2D82">
              <w:t xml:space="preserve">, and more likely to be engaged in employment and living independently. </w:t>
            </w:r>
          </w:p>
        </w:tc>
      </w:tr>
      <w:tr w:rsidR="00EC0DB8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Interagency Collaboration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EC0DB8" w:rsidRPr="00DA2D82" w:rsidRDefault="00EC0DB8" w:rsidP="00EC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who received assistance </w:t>
            </w:r>
            <w:r w:rsidRPr="00DA2D82">
              <w:t>from 3 to 6</w:t>
            </w:r>
            <w:r w:rsidRPr="00DA2D82">
              <w:t xml:space="preserve"> community based agencies (as compared to students with assistance from 0-2) were more likely to be engaged in post school education or employment. </w:t>
            </w:r>
          </w:p>
        </w:tc>
      </w:tr>
      <w:tr w:rsidR="00EC0DB8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Occupational Courses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EC0DB8" w:rsidRPr="00DA2D82" w:rsidRDefault="00EC0DB8" w:rsidP="00EC0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took more hours of academic and occupational courses, and spent more time in regular education were more likely to be engaged in post-school </w:t>
            </w:r>
            <w:r w:rsidRPr="00DA2D82">
              <w:t>employment</w:t>
            </w:r>
            <w:r w:rsidRPr="00DA2D82">
              <w:t>.</w:t>
            </w:r>
          </w:p>
        </w:tc>
      </w:tr>
      <w:tr w:rsidR="00EC0DB8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 w:rsidP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Paid Employment/Work </w:t>
            </w:r>
          </w:p>
          <w:p w:rsidR="00EC0DB8" w:rsidRPr="00DA2D82" w:rsidRDefault="00EC0DB8" w:rsidP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Experience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Independent Living </w:t>
            </w:r>
          </w:p>
        </w:tc>
        <w:tc>
          <w:tcPr>
            <w:tcW w:w="5220" w:type="dxa"/>
          </w:tcPr>
          <w:p w:rsidR="00EC0DB8" w:rsidRPr="00DA2D82" w:rsidRDefault="00EC0DB8" w:rsidP="00EC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who had worked for pay during high school </w:t>
            </w:r>
            <w:proofErr w:type="gramStart"/>
            <w:r w:rsidRPr="00DA2D82">
              <w:t>were</w:t>
            </w:r>
            <w:proofErr w:type="gramEnd"/>
            <w:r w:rsidRPr="00DA2D82">
              <w:t xml:space="preserve"> more likely to be engaged in post-school education and employment and living </w:t>
            </w:r>
            <w:r w:rsidRPr="00DA2D82">
              <w:t>independently</w:t>
            </w:r>
            <w:r w:rsidRPr="00DA2D82">
              <w:t>.</w:t>
            </w:r>
          </w:p>
        </w:tc>
      </w:tr>
      <w:tr w:rsidR="00EC0DB8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Parent Expectations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EC0DB8" w:rsidRPr="00DA2D82" w:rsidRDefault="00EC0DB8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EC0DB8" w:rsidRPr="00DA2D82" w:rsidRDefault="00EC0DB8" w:rsidP="00EC0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had parents with high expectations were more likely to be engaged in postsecondary education or </w:t>
            </w:r>
            <w:r w:rsidRPr="00DA2D82">
              <w:t>employment</w:t>
            </w:r>
            <w:r w:rsidRPr="00DA2D82">
              <w:t>.</w:t>
            </w:r>
          </w:p>
        </w:tc>
      </w:tr>
      <w:tr w:rsidR="00EC0DB8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Parental Involvement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>Employment</w:t>
            </w:r>
          </w:p>
        </w:tc>
        <w:tc>
          <w:tcPr>
            <w:tcW w:w="5220" w:type="dxa"/>
          </w:tcPr>
          <w:p w:rsidR="00EC0DB8" w:rsidRPr="00DA2D82" w:rsidRDefault="00EC0DB8" w:rsidP="00EC0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with one or more parents who </w:t>
            </w:r>
            <w:r w:rsidRPr="00DA2D82">
              <w:t>participated</w:t>
            </w:r>
            <w:r w:rsidRPr="00DA2D82">
              <w:t xml:space="preserve"> in more IEP meetings during the 11thand 12</w:t>
            </w:r>
            <w:r w:rsidRPr="00DA2D82">
              <w:rPr>
                <w:vertAlign w:val="superscript"/>
              </w:rPr>
              <w:t>th</w:t>
            </w:r>
            <w:r w:rsidRPr="00DA2D82">
              <w:t xml:space="preserve"> </w:t>
            </w:r>
            <w:r w:rsidRPr="00DA2D82">
              <w:t xml:space="preserve">grade year </w:t>
            </w:r>
            <w:r w:rsidRPr="00DA2D82">
              <w:t xml:space="preserve">were more likely to be engaged in employment. </w:t>
            </w:r>
          </w:p>
        </w:tc>
      </w:tr>
      <w:tr w:rsidR="00EC0DB8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C0DB8" w:rsidRPr="00DA2D82" w:rsidRDefault="00EC0DB8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Program of Study</w:t>
            </w:r>
          </w:p>
        </w:tc>
        <w:tc>
          <w:tcPr>
            <w:tcW w:w="2070" w:type="dxa"/>
          </w:tcPr>
          <w:p w:rsidR="00EC0DB8" w:rsidRPr="00DA2D82" w:rsidRDefault="00EC0DB8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>Employment</w:t>
            </w:r>
          </w:p>
        </w:tc>
        <w:tc>
          <w:tcPr>
            <w:tcW w:w="5220" w:type="dxa"/>
          </w:tcPr>
          <w:p w:rsidR="00EC0DB8" w:rsidRPr="00DA2D82" w:rsidRDefault="00DA2D82" w:rsidP="00EC0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participated in school-based programs that included career </w:t>
            </w:r>
            <w:r w:rsidR="00EC0DB8" w:rsidRPr="00DA2D82">
              <w:t>major (“sequence of</w:t>
            </w:r>
            <w:r w:rsidRPr="00DA2D82">
              <w:t xml:space="preserve"> course based on </w:t>
            </w:r>
            <w:proofErr w:type="spellStart"/>
            <w:proofErr w:type="gramStart"/>
            <w:r w:rsidRPr="00DA2D82">
              <w:t>a</w:t>
            </w:r>
            <w:proofErr w:type="spellEnd"/>
            <w:proofErr w:type="gramEnd"/>
            <w:r w:rsidRPr="00DA2D82">
              <w:t xml:space="preserve"> occupational goal). </w:t>
            </w:r>
          </w:p>
        </w:tc>
      </w:tr>
      <w:tr w:rsidR="00DA2D82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2D82" w:rsidRPr="00DA2D82" w:rsidRDefault="00DA2D82" w:rsidP="00DA2D82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Self-Advocacy/Self-Determination </w:t>
            </w:r>
          </w:p>
        </w:tc>
        <w:tc>
          <w:tcPr>
            <w:tcW w:w="2070" w:type="dxa"/>
          </w:tcPr>
          <w:p w:rsidR="00DA2D82" w:rsidRPr="00DA2D82" w:rsidRDefault="00DA2D82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A2D82" w:rsidRPr="00DA2D82" w:rsidRDefault="00DA2D82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DA2D82" w:rsidRPr="00DA2D82" w:rsidRDefault="00DA2D82" w:rsidP="00DA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with higher self-determination skills were more likely to be engaged in post-school education and </w:t>
            </w:r>
            <w:r w:rsidRPr="00DA2D82">
              <w:t>employment</w:t>
            </w:r>
            <w:r w:rsidRPr="00DA2D82">
              <w:t>.</w:t>
            </w:r>
            <w:r w:rsidRPr="00DA2D82">
              <w:t xml:space="preserve"> </w:t>
            </w:r>
          </w:p>
        </w:tc>
      </w:tr>
      <w:tr w:rsidR="00DA2D82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2D82" w:rsidRPr="00DA2D82" w:rsidRDefault="00DA2D82" w:rsidP="00DA2D82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Self-care/Independent </w:t>
            </w:r>
          </w:p>
          <w:p w:rsidR="00DA2D82" w:rsidRPr="00DA2D82" w:rsidRDefault="00DA2D82" w:rsidP="00DA2D82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 xml:space="preserve">Living Skills </w:t>
            </w:r>
          </w:p>
        </w:tc>
        <w:tc>
          <w:tcPr>
            <w:tcW w:w="2070" w:type="dxa"/>
          </w:tcPr>
          <w:p w:rsidR="00DA2D82" w:rsidRPr="00DA2D82" w:rsidRDefault="00DA2D82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A2D82" w:rsidRPr="00DA2D82" w:rsidRDefault="00DA2D82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  <w:p w:rsidR="00DA2D82" w:rsidRPr="00DA2D82" w:rsidRDefault="00DA2D82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Independent Living </w:t>
            </w:r>
          </w:p>
        </w:tc>
        <w:tc>
          <w:tcPr>
            <w:tcW w:w="5220" w:type="dxa"/>
          </w:tcPr>
          <w:p w:rsidR="00DA2D82" w:rsidRPr="00DA2D82" w:rsidRDefault="00DA2D82" w:rsidP="00DA2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Students who had </w:t>
            </w:r>
            <w:r w:rsidRPr="00DA2D82">
              <w:t>high self-care skills</w:t>
            </w:r>
            <w:r w:rsidRPr="00DA2D82">
              <w:t xml:space="preserve"> were more likely to be engaged in post-school education and employment and living independently.</w:t>
            </w:r>
          </w:p>
        </w:tc>
      </w:tr>
      <w:tr w:rsidR="00DA2D82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A2D82" w:rsidRPr="00DA2D82" w:rsidRDefault="00DA2D82" w:rsidP="00DA2D82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lastRenderedPageBreak/>
              <w:t>Social Skills</w:t>
            </w:r>
          </w:p>
        </w:tc>
        <w:tc>
          <w:tcPr>
            <w:tcW w:w="2070" w:type="dxa"/>
          </w:tcPr>
          <w:p w:rsidR="00DA2D82" w:rsidRPr="00DA2D82" w:rsidRDefault="00DA2D82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A2D82" w:rsidRPr="00DA2D82" w:rsidRDefault="00DA2D82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DA2D82" w:rsidRPr="00DA2D82" w:rsidRDefault="00DA2D82" w:rsidP="00DA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Students with high social skills (based </w:t>
            </w:r>
            <w:r>
              <w:t xml:space="preserve">on teacher ratings </w:t>
            </w:r>
            <w:r w:rsidRPr="00DA2D82">
              <w:t>from the Life Centered Career Education rating scales) were</w:t>
            </w:r>
            <w:r w:rsidRPr="00DA2D82">
              <w:t xml:space="preserve"> more likely to have higher quality of life (independent living) and be engaged in post-school education and employment.</w:t>
            </w:r>
          </w:p>
        </w:tc>
      </w:tr>
      <w:tr w:rsidR="00DE6BFD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6BFD" w:rsidRPr="00DA2D82" w:rsidRDefault="00DE6BFD">
            <w:pPr>
              <w:rPr>
                <w:rFonts w:asciiTheme="minorHAnsi" w:hAnsiTheme="minorHAnsi"/>
              </w:rPr>
            </w:pPr>
            <w:r w:rsidRPr="00DA2D82">
              <w:rPr>
                <w:rFonts w:asciiTheme="minorHAnsi" w:hAnsiTheme="minorHAnsi"/>
              </w:rPr>
              <w:t>Student Support</w:t>
            </w:r>
          </w:p>
        </w:tc>
        <w:tc>
          <w:tcPr>
            <w:tcW w:w="2070" w:type="dxa"/>
          </w:tcPr>
          <w:p w:rsidR="00DE6BFD" w:rsidRPr="00DA2D82" w:rsidRDefault="00DE6BFD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E6BFD" w:rsidRPr="00DA2D82" w:rsidRDefault="00DE6BFD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  <w:p w:rsidR="00DE6BFD" w:rsidRPr="00DA2D82" w:rsidRDefault="00DE6BFD" w:rsidP="00D72ECC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Independent Living </w:t>
            </w:r>
          </w:p>
        </w:tc>
        <w:tc>
          <w:tcPr>
            <w:tcW w:w="5220" w:type="dxa"/>
          </w:tcPr>
          <w:p w:rsidR="00DE6BFD" w:rsidRPr="00DA2D82" w:rsidRDefault="00DE6BFD" w:rsidP="00DE6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who had support for self-family-friend network to find a job were more likely to be engaged in post-school employment. Students with more interaction were more likely to live independently. </w:t>
            </w:r>
          </w:p>
        </w:tc>
      </w:tr>
      <w:tr w:rsidR="00DE6BFD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6BFD" w:rsidRPr="00DA2D82" w:rsidRDefault="00DE6BFD">
            <w:pPr>
              <w:rPr>
                <w:rFonts w:asciiTheme="minorHAnsi" w:hAnsiTheme="minorHAnsi"/>
              </w:rPr>
            </w:pPr>
            <w:r w:rsidRPr="00DE6BFD">
              <w:rPr>
                <w:rFonts w:asciiTheme="minorHAnsi" w:hAnsiTheme="minorHAnsi"/>
              </w:rPr>
              <w:t>Transition Program</w:t>
            </w:r>
          </w:p>
        </w:tc>
        <w:tc>
          <w:tcPr>
            <w:tcW w:w="2070" w:type="dxa"/>
          </w:tcPr>
          <w:p w:rsidR="00DE6BFD" w:rsidRPr="00DA2D82" w:rsidRDefault="00DE6BFD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E6BFD" w:rsidRPr="00DA2D82" w:rsidRDefault="00DE6BFD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DE6BFD" w:rsidRPr="00DA2D82" w:rsidRDefault="00DE6BFD" w:rsidP="00DE6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who received tran</w:t>
            </w:r>
            <w:r>
              <w:t xml:space="preserve">sition planning services during </w:t>
            </w:r>
            <w:r>
              <w:t>the year prior to leavin</w:t>
            </w:r>
            <w:r>
              <w:t xml:space="preserve">g school were more likely to be </w:t>
            </w:r>
            <w:r>
              <w:t>engaged in post</w:t>
            </w:r>
            <w:r>
              <w:t>-</w:t>
            </w:r>
            <w:r>
              <w:t>school education</w:t>
            </w:r>
            <w:r>
              <w:t>.</w:t>
            </w:r>
          </w:p>
        </w:tc>
      </w:tr>
      <w:tr w:rsidR="00DE6BFD" w:rsidRPr="00DA2D82" w:rsidTr="00DA2D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6BFD" w:rsidRPr="00DE6BFD" w:rsidRDefault="00DE6BFD">
            <w:pPr>
              <w:rPr>
                <w:rFonts w:asciiTheme="minorHAnsi" w:hAnsiTheme="minorHAnsi"/>
              </w:rPr>
            </w:pPr>
            <w:r w:rsidRPr="00DE6BFD">
              <w:rPr>
                <w:rFonts w:asciiTheme="minorHAnsi" w:hAnsiTheme="minorHAnsi"/>
              </w:rPr>
              <w:t xml:space="preserve">Vocational Program </w:t>
            </w:r>
          </w:p>
        </w:tc>
        <w:tc>
          <w:tcPr>
            <w:tcW w:w="2070" w:type="dxa"/>
          </w:tcPr>
          <w:p w:rsidR="00DE6BFD" w:rsidRPr="00DA2D82" w:rsidRDefault="00DE6BFD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Education </w:t>
            </w:r>
          </w:p>
          <w:p w:rsidR="00DE6BFD" w:rsidRPr="00DA2D82" w:rsidRDefault="00DE6BFD" w:rsidP="00D72ECC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2D82">
              <w:t xml:space="preserve">Employment </w:t>
            </w:r>
          </w:p>
        </w:tc>
        <w:tc>
          <w:tcPr>
            <w:tcW w:w="5220" w:type="dxa"/>
          </w:tcPr>
          <w:p w:rsidR="00DE6BFD" w:rsidRDefault="00DE6BFD" w:rsidP="00DE6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with vocational e</w:t>
            </w:r>
            <w:r>
              <w:t xml:space="preserve">ducation credits in high school </w:t>
            </w:r>
            <w:r>
              <w:t>were more likely to be engaged in post</w:t>
            </w:r>
            <w:r>
              <w:t xml:space="preserve">-school </w:t>
            </w:r>
            <w:r>
              <w:t>employment and post</w:t>
            </w:r>
            <w:r>
              <w:t>-</w:t>
            </w:r>
            <w:r>
              <w:t>school education</w:t>
            </w:r>
            <w:r>
              <w:t>.</w:t>
            </w:r>
          </w:p>
        </w:tc>
      </w:tr>
      <w:tr w:rsidR="00DE6BFD" w:rsidRPr="00DA2D82" w:rsidTr="00DA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6BFD" w:rsidRPr="00DE6BFD" w:rsidRDefault="00DE6BFD">
            <w:pPr>
              <w:rPr>
                <w:rFonts w:asciiTheme="minorHAnsi" w:hAnsiTheme="minorHAnsi"/>
              </w:rPr>
            </w:pPr>
            <w:r w:rsidRPr="00DE6BFD">
              <w:rPr>
                <w:rFonts w:asciiTheme="minorHAnsi" w:hAnsiTheme="minorHAnsi"/>
              </w:rPr>
              <w:t xml:space="preserve">Work Study </w:t>
            </w:r>
          </w:p>
        </w:tc>
        <w:tc>
          <w:tcPr>
            <w:tcW w:w="2070" w:type="dxa"/>
          </w:tcPr>
          <w:p w:rsidR="00DE6BFD" w:rsidRPr="00DA2D82" w:rsidRDefault="00DE6BFD" w:rsidP="00D72E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Employment </w:t>
            </w:r>
          </w:p>
        </w:tc>
        <w:tc>
          <w:tcPr>
            <w:tcW w:w="5220" w:type="dxa"/>
          </w:tcPr>
          <w:p w:rsidR="00DE6BFD" w:rsidRDefault="00DE6BFD" w:rsidP="00DE6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who particip</w:t>
            </w:r>
            <w:r>
              <w:t xml:space="preserve">ated in work study were 2 times </w:t>
            </w:r>
            <w:r>
              <w:t>more likely to be engaged in full-time post</w:t>
            </w:r>
            <w:r>
              <w:t xml:space="preserve">-school </w:t>
            </w:r>
            <w:r>
              <w:t>employment</w:t>
            </w:r>
            <w:r>
              <w:t>.</w:t>
            </w:r>
          </w:p>
        </w:tc>
      </w:tr>
    </w:tbl>
    <w:p w:rsidR="002C00D5" w:rsidRPr="00DA2D82" w:rsidRDefault="002C00D5">
      <w:bookmarkStart w:id="0" w:name="_GoBack"/>
      <w:bookmarkEnd w:id="0"/>
    </w:p>
    <w:sectPr w:rsidR="002C00D5" w:rsidRPr="00DA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271"/>
    <w:multiLevelType w:val="hybridMultilevel"/>
    <w:tmpl w:val="DA082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019E6"/>
    <w:multiLevelType w:val="hybridMultilevel"/>
    <w:tmpl w:val="C40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41"/>
    <w:rsid w:val="00124141"/>
    <w:rsid w:val="002C00D5"/>
    <w:rsid w:val="00DA2D82"/>
    <w:rsid w:val="00DE6BFD"/>
    <w:rsid w:val="00E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141"/>
    <w:pPr>
      <w:ind w:left="720"/>
      <w:contextualSpacing/>
    </w:pPr>
  </w:style>
  <w:style w:type="table" w:styleId="LightGrid">
    <w:name w:val="Light Grid"/>
    <w:basedOn w:val="TableNormal"/>
    <w:uiPriority w:val="62"/>
    <w:rsid w:val="00DA2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141"/>
    <w:pPr>
      <w:ind w:left="720"/>
      <w:contextualSpacing/>
    </w:pPr>
  </w:style>
  <w:style w:type="table" w:styleId="LightGrid">
    <w:name w:val="Light Grid"/>
    <w:basedOn w:val="TableNormal"/>
    <w:uiPriority w:val="62"/>
    <w:rsid w:val="00DA2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Lowenthal</dc:creator>
  <cp:lastModifiedBy>Alison Lowenthal</cp:lastModifiedBy>
  <cp:revision>1</cp:revision>
  <dcterms:created xsi:type="dcterms:W3CDTF">2014-05-28T17:00:00Z</dcterms:created>
  <dcterms:modified xsi:type="dcterms:W3CDTF">2014-05-28T20:05:00Z</dcterms:modified>
</cp:coreProperties>
</file>