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2C" w:rsidRPr="00F935BF" w:rsidRDefault="00490DC1" w:rsidP="00A2612C">
      <w:pPr>
        <w:ind w:left="0" w:firstLine="0"/>
        <w:rPr>
          <w:rFonts w:asciiTheme="minorHAnsi" w:hAnsiTheme="minorHAnsi"/>
        </w:rPr>
      </w:pPr>
      <w:r w:rsidRPr="00F935BF">
        <w:rPr>
          <w:rFonts w:asciiTheme="minorHAnsi" w:hAnsiTheme="minorHAnsi"/>
          <w:szCs w:val="24"/>
        </w:rPr>
        <w:t xml:space="preserve">An </w:t>
      </w:r>
      <w:r w:rsidRPr="00F935BF">
        <w:rPr>
          <w:rFonts w:asciiTheme="minorHAnsi" w:hAnsiTheme="minorHAnsi"/>
          <w:b/>
          <w:szCs w:val="24"/>
        </w:rPr>
        <w:t>evidence-based practice</w:t>
      </w:r>
      <w:r w:rsidRPr="00F935BF">
        <w:rPr>
          <w:rFonts w:asciiTheme="minorHAnsi" w:hAnsiTheme="minorHAnsi"/>
          <w:szCs w:val="24"/>
        </w:rPr>
        <w:t xml:space="preserve"> (EBP) is a teaching method used to teach a specific skill that has been shown to be effective based on high-quality research (Cook, Tankersly, &amp; Landrum, 2009; Odom, Brantlinger, Gersten, Horner, Thompson, &amp; Harris, 2005). </w:t>
      </w:r>
      <w:r w:rsidR="00A2612C" w:rsidRPr="00F935BF">
        <w:rPr>
          <w:rFonts w:asciiTheme="minorHAnsi" w:hAnsiTheme="minorHAnsi"/>
        </w:rPr>
        <w:t>Evidence-based practices apply to secondary transition planning and instruction in the following ways:</w:t>
      </w:r>
    </w:p>
    <w:p w:rsidR="00C67178" w:rsidRPr="00F935BF" w:rsidRDefault="00A2612C" w:rsidP="00C555FB">
      <w:pPr>
        <w:numPr>
          <w:ilvl w:val="1"/>
          <w:numId w:val="19"/>
        </w:numPr>
        <w:rPr>
          <w:rFonts w:asciiTheme="minorHAnsi" w:hAnsiTheme="minorHAnsi"/>
        </w:rPr>
      </w:pPr>
      <w:r w:rsidRPr="00F935BF">
        <w:rPr>
          <w:rFonts w:asciiTheme="minorHAnsi" w:hAnsiTheme="minorHAnsi"/>
        </w:rPr>
        <w:t xml:space="preserve">Evidence-based practices provide teachers information about </w:t>
      </w:r>
      <w:r w:rsidR="00C67178" w:rsidRPr="00F935BF">
        <w:rPr>
          <w:rFonts w:asciiTheme="minorHAnsi" w:hAnsiTheme="minorHAnsi"/>
        </w:rPr>
        <w:t xml:space="preserve">what teaching methods in </w:t>
      </w:r>
      <w:r w:rsidRPr="00F935BF">
        <w:rPr>
          <w:rFonts w:asciiTheme="minorHAnsi" w:hAnsiTheme="minorHAnsi"/>
        </w:rPr>
        <w:t xml:space="preserve">secondary transition </w:t>
      </w:r>
      <w:r w:rsidR="00C67178" w:rsidRPr="00F935BF">
        <w:rPr>
          <w:rFonts w:asciiTheme="minorHAnsi" w:hAnsiTheme="minorHAnsi"/>
        </w:rPr>
        <w:t xml:space="preserve">have been effective in helping </w:t>
      </w:r>
      <w:r w:rsidRPr="00F935BF">
        <w:rPr>
          <w:rFonts w:asciiTheme="minorHAnsi" w:hAnsiTheme="minorHAnsi"/>
        </w:rPr>
        <w:t>students with disabilities</w:t>
      </w:r>
      <w:r w:rsidR="00C67178" w:rsidRPr="00F935BF">
        <w:rPr>
          <w:rFonts w:asciiTheme="minorHAnsi" w:hAnsiTheme="minorHAnsi"/>
        </w:rPr>
        <w:t xml:space="preserve"> learn specific skills.</w:t>
      </w:r>
    </w:p>
    <w:p w:rsidR="00CB5C1F" w:rsidRPr="00F935BF" w:rsidRDefault="00A2612C" w:rsidP="00C555FB">
      <w:pPr>
        <w:numPr>
          <w:ilvl w:val="1"/>
          <w:numId w:val="19"/>
        </w:numPr>
        <w:rPr>
          <w:rFonts w:asciiTheme="minorHAnsi" w:hAnsiTheme="minorHAnsi"/>
        </w:rPr>
      </w:pPr>
      <w:r w:rsidRPr="00F935BF">
        <w:rPr>
          <w:rFonts w:asciiTheme="minorHAnsi" w:hAnsiTheme="minorHAnsi"/>
        </w:rPr>
        <w:t>Evidence-based practices c</w:t>
      </w:r>
      <w:r w:rsidR="00C67178" w:rsidRPr="00F935BF">
        <w:rPr>
          <w:rFonts w:asciiTheme="minorHAnsi" w:hAnsiTheme="minorHAnsi"/>
        </w:rPr>
        <w:t xml:space="preserve">an be used to support </w:t>
      </w:r>
      <w:r w:rsidRPr="00F935BF">
        <w:rPr>
          <w:rFonts w:asciiTheme="minorHAnsi" w:hAnsiTheme="minorHAnsi"/>
        </w:rPr>
        <w:t>IEP goals</w:t>
      </w:r>
      <w:r w:rsidR="00C67178" w:rsidRPr="00F935BF">
        <w:rPr>
          <w:rFonts w:asciiTheme="minorHAnsi" w:hAnsiTheme="minorHAnsi"/>
        </w:rPr>
        <w:t xml:space="preserve"> and o</w:t>
      </w:r>
      <w:r w:rsidRPr="00F935BF">
        <w:rPr>
          <w:rFonts w:asciiTheme="minorHAnsi" w:hAnsiTheme="minorHAnsi"/>
        </w:rPr>
        <w:t>bjectives</w:t>
      </w:r>
      <w:r w:rsidR="00C67178" w:rsidRPr="00F935BF">
        <w:rPr>
          <w:rFonts w:asciiTheme="minorHAnsi" w:hAnsiTheme="minorHAnsi"/>
        </w:rPr>
        <w:t xml:space="preserve"> as well as </w:t>
      </w:r>
      <w:r w:rsidRPr="00F935BF">
        <w:rPr>
          <w:rFonts w:asciiTheme="minorHAnsi" w:hAnsiTheme="minorHAnsi"/>
        </w:rPr>
        <w:t>skill development</w:t>
      </w:r>
      <w:r w:rsidR="00C67178" w:rsidRPr="00F935BF">
        <w:rPr>
          <w:rFonts w:asciiTheme="minorHAnsi" w:hAnsiTheme="minorHAnsi"/>
        </w:rPr>
        <w:t xml:space="preserve">. </w:t>
      </w:r>
    </w:p>
    <w:p w:rsidR="00C67178" w:rsidRPr="00F935BF" w:rsidRDefault="00C67178" w:rsidP="00C67178">
      <w:pPr>
        <w:ind w:firstLine="0"/>
        <w:rPr>
          <w:rFonts w:asciiTheme="minorHAnsi" w:hAnsiTheme="minorHAnsi"/>
        </w:rPr>
      </w:pPr>
    </w:p>
    <w:p w:rsidR="00A2612C" w:rsidRPr="00F935BF" w:rsidRDefault="00A2612C" w:rsidP="00A2612C">
      <w:pPr>
        <w:ind w:left="0" w:firstLine="0"/>
        <w:rPr>
          <w:rFonts w:asciiTheme="minorHAnsi" w:hAnsiTheme="minorHAnsi"/>
          <w:i/>
        </w:rPr>
      </w:pPr>
      <w:r w:rsidRPr="00F935BF">
        <w:rPr>
          <w:rFonts w:asciiTheme="minorHAnsi" w:hAnsiTheme="minorHAnsi"/>
        </w:rPr>
        <w:t xml:space="preserve">Table 1 </w:t>
      </w:r>
      <w:r w:rsidR="00F9073C" w:rsidRPr="00F935BF">
        <w:rPr>
          <w:rFonts w:asciiTheme="minorHAnsi" w:hAnsiTheme="minorHAnsi"/>
        </w:rPr>
        <w:t>list</w:t>
      </w:r>
      <w:r w:rsidR="0009005F" w:rsidRPr="00F935BF">
        <w:rPr>
          <w:rFonts w:asciiTheme="minorHAnsi" w:hAnsiTheme="minorHAnsi"/>
        </w:rPr>
        <w:t xml:space="preserve">s </w:t>
      </w:r>
      <w:r w:rsidR="00F9073C" w:rsidRPr="00F935BF">
        <w:rPr>
          <w:rFonts w:asciiTheme="minorHAnsi" w:hAnsiTheme="minorHAnsi"/>
        </w:rPr>
        <w:t>skill</w:t>
      </w:r>
      <w:r w:rsidR="0009005F" w:rsidRPr="00F935BF">
        <w:rPr>
          <w:rFonts w:asciiTheme="minorHAnsi" w:hAnsiTheme="minorHAnsi"/>
        </w:rPr>
        <w:t>s taught using evidence-based practice</w:t>
      </w:r>
      <w:r w:rsidR="00B07856" w:rsidRPr="00F935BF">
        <w:rPr>
          <w:rFonts w:asciiTheme="minorHAnsi" w:hAnsiTheme="minorHAnsi"/>
        </w:rPr>
        <w:t>s</w:t>
      </w:r>
      <w:r w:rsidR="0009005F" w:rsidRPr="00F935BF">
        <w:rPr>
          <w:rFonts w:asciiTheme="minorHAnsi" w:hAnsiTheme="minorHAnsi"/>
        </w:rPr>
        <w:t>,</w:t>
      </w:r>
      <w:r w:rsidR="00F9073C" w:rsidRPr="00F935BF">
        <w:rPr>
          <w:rFonts w:asciiTheme="minorHAnsi" w:hAnsiTheme="minorHAnsi"/>
        </w:rPr>
        <w:t xml:space="preserve"> and references used to establish the </w:t>
      </w:r>
      <w:r w:rsidR="00B07856" w:rsidRPr="00F935BF">
        <w:rPr>
          <w:rFonts w:asciiTheme="minorHAnsi" w:hAnsiTheme="minorHAnsi"/>
        </w:rPr>
        <w:t xml:space="preserve">evidence-base for the </w:t>
      </w:r>
      <w:r w:rsidR="00F9073C" w:rsidRPr="00F935BF">
        <w:rPr>
          <w:rFonts w:asciiTheme="minorHAnsi" w:hAnsiTheme="minorHAnsi"/>
        </w:rPr>
        <w:t>practice</w:t>
      </w:r>
      <w:r w:rsidR="00B07856" w:rsidRPr="00F935BF">
        <w:rPr>
          <w:rFonts w:asciiTheme="minorHAnsi" w:hAnsiTheme="minorHAnsi"/>
        </w:rPr>
        <w:t>(s) to teach that skill</w:t>
      </w:r>
      <w:r w:rsidRPr="00F935BF">
        <w:rPr>
          <w:rFonts w:asciiTheme="minorHAnsi" w:hAnsiTheme="minorHAnsi"/>
        </w:rPr>
        <w:t xml:space="preserve">. </w:t>
      </w:r>
      <w:r w:rsidRPr="00F935BF">
        <w:rPr>
          <w:rFonts w:asciiTheme="minorHAnsi" w:hAnsiTheme="minorHAnsi"/>
          <w:i/>
        </w:rPr>
        <w:t xml:space="preserve">Visit </w:t>
      </w:r>
      <w:hyperlink r:id="rId9" w:history="1">
        <w:r w:rsidRPr="00F935BF">
          <w:rPr>
            <w:rStyle w:val="Hyperlink"/>
            <w:rFonts w:asciiTheme="minorHAnsi" w:hAnsiTheme="minorHAnsi"/>
            <w:i/>
          </w:rPr>
          <w:t>www.nsttac.org</w:t>
        </w:r>
      </w:hyperlink>
      <w:r w:rsidRPr="00F935BF">
        <w:rPr>
          <w:rFonts w:asciiTheme="minorHAnsi" w:hAnsiTheme="minorHAnsi"/>
          <w:i/>
        </w:rPr>
        <w:t xml:space="preserve"> for information pertaining the how these practices were identified. </w:t>
      </w:r>
    </w:p>
    <w:p w:rsidR="0009005F" w:rsidRPr="00F935BF" w:rsidRDefault="0009005F" w:rsidP="00A2612C">
      <w:pPr>
        <w:ind w:left="0" w:firstLine="0"/>
        <w:rPr>
          <w:rFonts w:asciiTheme="minorHAnsi" w:hAnsiTheme="minorHAnsi"/>
          <w:szCs w:val="24"/>
        </w:rPr>
      </w:pPr>
    </w:p>
    <w:p w:rsidR="00A2612C" w:rsidRPr="00F935BF" w:rsidRDefault="00A2612C" w:rsidP="00A2612C">
      <w:pPr>
        <w:ind w:left="0" w:firstLine="0"/>
        <w:rPr>
          <w:rFonts w:asciiTheme="minorHAnsi" w:hAnsiTheme="minorHAnsi"/>
          <w:szCs w:val="24"/>
        </w:rPr>
      </w:pPr>
      <w:r w:rsidRPr="00F935BF">
        <w:rPr>
          <w:rFonts w:asciiTheme="minorHAnsi" w:hAnsiTheme="minorHAnsi"/>
          <w:szCs w:val="24"/>
        </w:rPr>
        <w:t xml:space="preserve">Table 1. </w:t>
      </w:r>
      <w:r w:rsidR="00B07856" w:rsidRPr="00F935BF">
        <w:rPr>
          <w:rFonts w:asciiTheme="minorHAnsi" w:hAnsiTheme="minorHAnsi"/>
          <w:szCs w:val="24"/>
        </w:rPr>
        <w:t xml:space="preserve">Skills taught using evidence-based practices ins secondary transition </w:t>
      </w:r>
    </w:p>
    <w:tbl>
      <w:tblPr>
        <w:tblW w:w="5004"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0"/>
        <w:gridCol w:w="5766"/>
        <w:gridCol w:w="1708"/>
      </w:tblGrid>
      <w:tr w:rsidR="00A2612C" w:rsidRPr="00F935BF" w:rsidTr="00A2612C">
        <w:trPr>
          <w:trHeight w:val="539"/>
        </w:trPr>
        <w:tc>
          <w:tcPr>
            <w:tcW w:w="5000" w:type="pct"/>
            <w:gridSpan w:val="3"/>
            <w:shd w:val="clear" w:color="auto" w:fill="20BEE4"/>
            <w:vAlign w:val="center"/>
          </w:tcPr>
          <w:p w:rsidR="00A2612C" w:rsidRPr="00F935BF" w:rsidRDefault="00A2612C" w:rsidP="0047170E">
            <w:pPr>
              <w:ind w:left="0" w:firstLine="0"/>
              <w:jc w:val="center"/>
              <w:rPr>
                <w:rFonts w:asciiTheme="minorHAnsi" w:eastAsiaTheme="minorHAnsi" w:hAnsiTheme="minorHAnsi"/>
                <w:b/>
                <w:color w:val="FFFFFF" w:themeColor="background1"/>
                <w:sz w:val="20"/>
                <w:szCs w:val="20"/>
              </w:rPr>
            </w:pPr>
            <w:r w:rsidRPr="00F935BF">
              <w:rPr>
                <w:rFonts w:asciiTheme="minorHAnsi" w:eastAsiaTheme="minorHAnsi" w:hAnsiTheme="minorHAnsi"/>
                <w:b/>
                <w:color w:val="FFFFFF" w:themeColor="background1"/>
                <w:sz w:val="20"/>
                <w:szCs w:val="20"/>
              </w:rPr>
              <w:t>Evidence-based Practices</w:t>
            </w:r>
          </w:p>
        </w:tc>
      </w:tr>
      <w:tr w:rsidR="00A2612C" w:rsidRPr="00F935BF" w:rsidTr="0047170E">
        <w:trPr>
          <w:trHeight w:val="368"/>
        </w:trPr>
        <w:tc>
          <w:tcPr>
            <w:tcW w:w="1137" w:type="pct"/>
          </w:tcPr>
          <w:p w:rsidR="00A2612C" w:rsidRPr="00F935BF" w:rsidRDefault="0009005F" w:rsidP="0047170E">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Skills Taught</w:t>
            </w:r>
          </w:p>
        </w:tc>
        <w:tc>
          <w:tcPr>
            <w:tcW w:w="2980" w:type="pct"/>
          </w:tcPr>
          <w:p w:rsidR="00A2612C" w:rsidRPr="00F935BF" w:rsidRDefault="0009005F" w:rsidP="0047170E">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Evidence-Based Practice</w:t>
            </w:r>
          </w:p>
        </w:tc>
        <w:tc>
          <w:tcPr>
            <w:tcW w:w="883" w:type="pct"/>
          </w:tcPr>
          <w:p w:rsidR="00A2612C" w:rsidRPr="00F935BF" w:rsidRDefault="00A2612C" w:rsidP="0047170E">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References</w:t>
            </w:r>
          </w:p>
        </w:tc>
      </w:tr>
      <w:tr w:rsidR="00A2612C" w:rsidRPr="00F935BF" w:rsidTr="0047170E">
        <w:trPr>
          <w:trHeight w:val="368"/>
        </w:trPr>
        <w:tc>
          <w:tcPr>
            <w:tcW w:w="1137" w:type="pct"/>
          </w:tcPr>
          <w:p w:rsidR="00A2612C" w:rsidRPr="00F935BF" w:rsidRDefault="0009005F"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Banking Skills</w:t>
            </w:r>
          </w:p>
          <w:p w:rsidR="00A2612C" w:rsidRPr="00F935BF" w:rsidRDefault="00A2612C" w:rsidP="0047170E">
            <w:pPr>
              <w:ind w:left="0" w:firstLine="0"/>
              <w:rPr>
                <w:rFonts w:asciiTheme="minorHAnsi" w:eastAsiaTheme="minorHAnsi" w:hAnsiTheme="minorHAnsi"/>
                <w:sz w:val="20"/>
                <w:szCs w:val="20"/>
              </w:rPr>
            </w:pPr>
          </w:p>
        </w:tc>
        <w:tc>
          <w:tcPr>
            <w:tcW w:w="2980" w:type="pct"/>
          </w:tcPr>
          <w:p w:rsidR="00A2612C" w:rsidRPr="00F935BF" w:rsidRDefault="00D47CFE" w:rsidP="00C555FB">
            <w:pPr>
              <w:pStyle w:val="ListParagraph"/>
              <w:numPr>
                <w:ilvl w:val="0"/>
                <w:numId w:val="22"/>
              </w:numPr>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Using </w:t>
            </w:r>
            <w:r w:rsidR="0047170E" w:rsidRPr="00F935BF">
              <w:rPr>
                <w:rFonts w:asciiTheme="minorHAnsi" w:eastAsiaTheme="minorHAnsi" w:hAnsiTheme="minorHAnsi"/>
                <w:color w:val="000000"/>
                <w:sz w:val="20"/>
                <w:szCs w:val="20"/>
              </w:rPr>
              <w:t>community-based i</w:t>
            </w:r>
            <w:r w:rsidR="0009005F" w:rsidRPr="00F935BF">
              <w:rPr>
                <w:rFonts w:asciiTheme="minorHAnsi" w:eastAsiaTheme="minorHAnsi" w:hAnsiTheme="minorHAnsi"/>
                <w:color w:val="000000"/>
                <w:sz w:val="20"/>
                <w:szCs w:val="20"/>
              </w:rPr>
              <w:t>nstruction</w:t>
            </w:r>
          </w:p>
          <w:p w:rsidR="0009005F" w:rsidRPr="00F935BF" w:rsidRDefault="00D47CFE" w:rsidP="00C555FB">
            <w:pPr>
              <w:pStyle w:val="ListParagraph"/>
              <w:numPr>
                <w:ilvl w:val="0"/>
                <w:numId w:val="22"/>
              </w:numPr>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Using </w:t>
            </w:r>
            <w:r w:rsidR="0047170E" w:rsidRPr="00F935BF">
              <w:rPr>
                <w:rFonts w:asciiTheme="minorHAnsi" w:eastAsiaTheme="minorHAnsi" w:hAnsiTheme="minorHAnsi"/>
                <w:color w:val="000000"/>
                <w:sz w:val="20"/>
                <w:szCs w:val="20"/>
              </w:rPr>
              <w:t>constant time d</w:t>
            </w:r>
            <w:r w:rsidR="0009005F" w:rsidRPr="00F935BF">
              <w:rPr>
                <w:rFonts w:asciiTheme="minorHAnsi" w:eastAsiaTheme="minorHAnsi" w:hAnsiTheme="minorHAnsi"/>
                <w:color w:val="000000"/>
                <w:sz w:val="20"/>
                <w:szCs w:val="20"/>
              </w:rPr>
              <w:t>elay</w:t>
            </w:r>
          </w:p>
          <w:p w:rsidR="0009005F" w:rsidRPr="00F935BF" w:rsidRDefault="00D47CFE" w:rsidP="00C555FB">
            <w:pPr>
              <w:pStyle w:val="ListParagraph"/>
              <w:numPr>
                <w:ilvl w:val="0"/>
                <w:numId w:val="22"/>
              </w:numPr>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Using </w:t>
            </w:r>
            <w:r w:rsidR="0047170E" w:rsidRPr="00F935BF">
              <w:rPr>
                <w:rFonts w:asciiTheme="minorHAnsi" w:eastAsiaTheme="minorHAnsi" w:hAnsiTheme="minorHAnsi"/>
                <w:color w:val="000000"/>
                <w:sz w:val="20"/>
                <w:szCs w:val="20"/>
              </w:rPr>
              <w:t>s</w:t>
            </w:r>
            <w:r w:rsidR="0009005F" w:rsidRPr="00F935BF">
              <w:rPr>
                <w:rFonts w:asciiTheme="minorHAnsi" w:eastAsiaTheme="minorHAnsi" w:hAnsiTheme="minorHAnsi"/>
                <w:color w:val="000000"/>
                <w:sz w:val="20"/>
                <w:szCs w:val="20"/>
              </w:rPr>
              <w:t>imulations</w:t>
            </w:r>
          </w:p>
          <w:p w:rsidR="0009005F" w:rsidRPr="00F935BF" w:rsidRDefault="0009005F" w:rsidP="0047170E">
            <w:pPr>
              <w:ind w:left="0" w:firstLine="0"/>
              <w:rPr>
                <w:rFonts w:asciiTheme="minorHAnsi" w:eastAsiaTheme="minorHAnsi" w:hAnsiTheme="minorHAnsi"/>
                <w:sz w:val="20"/>
                <w:szCs w:val="20"/>
              </w:rPr>
            </w:pPr>
          </w:p>
        </w:tc>
        <w:tc>
          <w:tcPr>
            <w:tcW w:w="883" w:type="pct"/>
          </w:tcPr>
          <w:p w:rsidR="00A2612C"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Alberto, Cihak, &amp; Gama, 2005;</w:t>
            </w:r>
            <w:r w:rsidR="0009005F" w:rsidRPr="00F935BF">
              <w:rPr>
                <w:rFonts w:asciiTheme="minorHAnsi" w:eastAsiaTheme="minorHAnsi" w:hAnsiTheme="minorHAnsi"/>
                <w:sz w:val="18"/>
                <w:szCs w:val="18"/>
              </w:rPr>
              <w:t xml:space="preserve"> Branham, Coll</w:t>
            </w:r>
            <w:r w:rsidRPr="00F935BF">
              <w:rPr>
                <w:rFonts w:asciiTheme="minorHAnsi" w:eastAsiaTheme="minorHAnsi" w:hAnsiTheme="minorHAnsi"/>
                <w:sz w:val="18"/>
                <w:szCs w:val="18"/>
              </w:rPr>
              <w:t xml:space="preserve">ins, Schuster, &amp; Kleinert 1999; McDonnell &amp; Ferguson, 1989; Aeschleman &amp; Gedig,1985; </w:t>
            </w:r>
            <w:r w:rsidR="00D47CFE" w:rsidRPr="00F935BF">
              <w:rPr>
                <w:rFonts w:asciiTheme="minorHAnsi" w:eastAsiaTheme="minorHAnsi" w:hAnsiTheme="minorHAnsi"/>
                <w:sz w:val="18"/>
                <w:szCs w:val="18"/>
              </w:rPr>
              <w:t>Ci</w:t>
            </w:r>
            <w:r w:rsidRPr="00F935BF">
              <w:rPr>
                <w:rFonts w:asciiTheme="minorHAnsi" w:eastAsiaTheme="minorHAnsi" w:hAnsiTheme="minorHAnsi"/>
                <w:sz w:val="18"/>
                <w:szCs w:val="18"/>
              </w:rPr>
              <w:t xml:space="preserve">hak, Alberto, Kessler, &amp; Taber , </w:t>
            </w:r>
            <w:r w:rsidR="00D47CFE" w:rsidRPr="00F935BF">
              <w:rPr>
                <w:rFonts w:asciiTheme="minorHAnsi" w:eastAsiaTheme="minorHAnsi" w:hAnsiTheme="minorHAnsi"/>
                <w:sz w:val="18"/>
                <w:szCs w:val="18"/>
              </w:rPr>
              <w:t>2004</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Promoting Parent Involvement in the Transition Planning Process</w:t>
            </w:r>
          </w:p>
          <w:p w:rsidR="00A2612C" w:rsidRPr="00F935BF" w:rsidRDefault="00A2612C" w:rsidP="0047170E">
            <w:pPr>
              <w:ind w:left="0" w:firstLine="0"/>
              <w:rPr>
                <w:rFonts w:asciiTheme="minorHAnsi" w:eastAsiaTheme="minorHAnsi" w:hAnsiTheme="minorHAnsi"/>
                <w:sz w:val="20"/>
                <w:szCs w:val="20"/>
              </w:rPr>
            </w:pPr>
          </w:p>
        </w:tc>
        <w:tc>
          <w:tcPr>
            <w:tcW w:w="2980" w:type="pct"/>
          </w:tcPr>
          <w:p w:rsidR="00A2612C" w:rsidRPr="00F935BF" w:rsidRDefault="0047170E" w:rsidP="00C555FB">
            <w:pPr>
              <w:pStyle w:val="ListParagraph"/>
              <w:numPr>
                <w:ilvl w:val="0"/>
                <w:numId w:val="23"/>
              </w:numPr>
              <w:rPr>
                <w:rFonts w:asciiTheme="minorHAnsi" w:eastAsiaTheme="minorHAnsi" w:hAnsiTheme="minorHAnsi"/>
                <w:sz w:val="20"/>
                <w:szCs w:val="20"/>
              </w:rPr>
            </w:pPr>
            <w:r w:rsidRPr="00F935BF">
              <w:rPr>
                <w:rFonts w:asciiTheme="minorHAnsi" w:eastAsiaTheme="minorHAnsi" w:hAnsiTheme="minorHAnsi"/>
                <w:sz w:val="20"/>
                <w:szCs w:val="20"/>
              </w:rPr>
              <w:t>Using training m</w:t>
            </w:r>
            <w:r w:rsidR="00D47CFE" w:rsidRPr="00F935BF">
              <w:rPr>
                <w:rFonts w:asciiTheme="minorHAnsi" w:eastAsiaTheme="minorHAnsi" w:hAnsiTheme="minorHAnsi"/>
                <w:sz w:val="20"/>
                <w:szCs w:val="20"/>
              </w:rPr>
              <w:t>odules</w:t>
            </w:r>
          </w:p>
        </w:tc>
        <w:tc>
          <w:tcPr>
            <w:tcW w:w="883" w:type="pct"/>
          </w:tcPr>
          <w:p w:rsidR="00A2612C" w:rsidRPr="00F935BF" w:rsidRDefault="00D47CFE" w:rsidP="007927E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Boone</w:t>
            </w:r>
            <w:r w:rsidR="007927EE" w:rsidRPr="00F935BF">
              <w:rPr>
                <w:rFonts w:asciiTheme="minorHAnsi" w:eastAsiaTheme="minorHAnsi" w:hAnsiTheme="minorHAnsi"/>
                <w:sz w:val="18"/>
                <w:szCs w:val="18"/>
              </w:rPr>
              <w:t>, 1992</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Communication Skills</w:t>
            </w:r>
          </w:p>
        </w:tc>
        <w:tc>
          <w:tcPr>
            <w:tcW w:w="2980" w:type="pct"/>
          </w:tcPr>
          <w:p w:rsidR="00A2612C" w:rsidRPr="00F935BF" w:rsidRDefault="0047170E" w:rsidP="00C555FB">
            <w:pPr>
              <w:pStyle w:val="ListParagraph"/>
              <w:numPr>
                <w:ilvl w:val="0"/>
                <w:numId w:val="23"/>
              </w:numPr>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least-to-most p</w:t>
            </w:r>
            <w:r w:rsidR="00D47CFE" w:rsidRPr="00F935BF">
              <w:rPr>
                <w:rFonts w:asciiTheme="minorHAnsi" w:eastAsiaTheme="minorHAnsi" w:hAnsiTheme="minorHAnsi"/>
                <w:color w:val="000000"/>
                <w:sz w:val="20"/>
                <w:szCs w:val="20"/>
              </w:rPr>
              <w:t>rompting</w:t>
            </w:r>
          </w:p>
          <w:p w:rsidR="00D47CFE" w:rsidRPr="00F935BF" w:rsidRDefault="00D47CFE" w:rsidP="00C555FB">
            <w:pPr>
              <w:pStyle w:val="ListParagraph"/>
              <w:numPr>
                <w:ilvl w:val="0"/>
                <w:numId w:val="23"/>
              </w:numPr>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Using </w:t>
            </w:r>
            <w:r w:rsidR="0047170E" w:rsidRPr="00F935BF">
              <w:rPr>
                <w:rFonts w:asciiTheme="minorHAnsi" w:eastAsiaTheme="minorHAnsi" w:hAnsiTheme="minorHAnsi"/>
                <w:color w:val="000000"/>
                <w:sz w:val="20"/>
                <w:szCs w:val="20"/>
              </w:rPr>
              <w:t>c</w:t>
            </w:r>
            <w:r w:rsidRPr="00F935BF">
              <w:rPr>
                <w:rFonts w:asciiTheme="minorHAnsi" w:eastAsiaTheme="minorHAnsi" w:hAnsiTheme="minorHAnsi"/>
                <w:color w:val="000000"/>
                <w:sz w:val="20"/>
                <w:szCs w:val="20"/>
              </w:rPr>
              <w:t>ommunity</w:t>
            </w:r>
            <w:r w:rsidR="0047170E" w:rsidRPr="00F935BF">
              <w:rPr>
                <w:rFonts w:asciiTheme="minorHAnsi" w:eastAsiaTheme="minorHAnsi" w:hAnsiTheme="minorHAnsi"/>
                <w:color w:val="000000"/>
                <w:sz w:val="20"/>
                <w:szCs w:val="20"/>
              </w:rPr>
              <w:t>-based i</w:t>
            </w:r>
            <w:r w:rsidRPr="00F935BF">
              <w:rPr>
                <w:rFonts w:asciiTheme="minorHAnsi" w:eastAsiaTheme="minorHAnsi" w:hAnsiTheme="minorHAnsi"/>
                <w:color w:val="000000"/>
                <w:sz w:val="20"/>
                <w:szCs w:val="20"/>
              </w:rPr>
              <w:t>nstruction</w:t>
            </w:r>
          </w:p>
        </w:tc>
        <w:tc>
          <w:tcPr>
            <w:tcW w:w="883" w:type="pct"/>
          </w:tcPr>
          <w:p w:rsidR="00A2612C" w:rsidRPr="00F935BF" w:rsidRDefault="00D47CFE" w:rsidP="00714461">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Heller, </w:t>
            </w:r>
            <w:r w:rsidR="007927EE" w:rsidRPr="00F935BF">
              <w:rPr>
                <w:rFonts w:asciiTheme="minorHAnsi" w:eastAsiaTheme="minorHAnsi" w:hAnsiTheme="minorHAnsi"/>
                <w:sz w:val="18"/>
                <w:szCs w:val="18"/>
              </w:rPr>
              <w:t xml:space="preserve">Allgood, Ware, &amp; Castelle, 1996;  Westling, Floyd, &amp; Carr , 1990; </w:t>
            </w:r>
            <w:r w:rsidRPr="00F935BF">
              <w:rPr>
                <w:rFonts w:asciiTheme="minorHAnsi" w:eastAsiaTheme="minorHAnsi" w:hAnsiTheme="minorHAnsi"/>
                <w:sz w:val="18"/>
                <w:szCs w:val="18"/>
              </w:rPr>
              <w:t>Hel</w:t>
            </w:r>
            <w:r w:rsidR="007927EE" w:rsidRPr="00F935BF">
              <w:rPr>
                <w:rFonts w:asciiTheme="minorHAnsi" w:eastAsiaTheme="minorHAnsi" w:hAnsiTheme="minorHAnsi"/>
                <w:sz w:val="18"/>
                <w:szCs w:val="18"/>
              </w:rPr>
              <w:t xml:space="preserve">ler, Allgood, Ware, &amp; Castelle, </w:t>
            </w:r>
            <w:r w:rsidRPr="00F935BF">
              <w:rPr>
                <w:rFonts w:asciiTheme="minorHAnsi" w:eastAsiaTheme="minorHAnsi" w:hAnsiTheme="minorHAnsi"/>
                <w:sz w:val="18"/>
                <w:szCs w:val="18"/>
              </w:rPr>
              <w:t>1996</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Community Integration</w:t>
            </w:r>
          </w:p>
        </w:tc>
        <w:tc>
          <w:tcPr>
            <w:tcW w:w="2980" w:type="pct"/>
          </w:tcPr>
          <w:p w:rsidR="00A2612C" w:rsidRPr="00F935BF" w:rsidRDefault="0047170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community-based i</w:t>
            </w:r>
            <w:r w:rsidR="00D47CFE" w:rsidRPr="00F935BF">
              <w:rPr>
                <w:rFonts w:asciiTheme="minorHAnsi" w:eastAsiaTheme="minorHAnsi" w:hAnsiTheme="minorHAnsi"/>
                <w:sz w:val="20"/>
                <w:szCs w:val="20"/>
              </w:rPr>
              <w:t>nstruction</w:t>
            </w:r>
          </w:p>
          <w:p w:rsidR="00D47CFE" w:rsidRPr="00F935BF" w:rsidRDefault="00D47CFE" w:rsidP="00D47CFE">
            <w:pPr>
              <w:ind w:left="0" w:firstLine="0"/>
              <w:rPr>
                <w:rFonts w:asciiTheme="minorHAnsi" w:eastAsiaTheme="minorHAnsi" w:hAnsiTheme="minorHAnsi"/>
                <w:sz w:val="20"/>
                <w:szCs w:val="20"/>
              </w:rPr>
            </w:pPr>
          </w:p>
        </w:tc>
        <w:tc>
          <w:tcPr>
            <w:tcW w:w="883" w:type="pct"/>
          </w:tcPr>
          <w:p w:rsidR="00A2612C"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Bates, Cuvo, Miner, &amp; Korabek 1999; </w:t>
            </w:r>
            <w:r w:rsidR="00D47CFE" w:rsidRPr="00F935BF">
              <w:rPr>
                <w:rFonts w:asciiTheme="minorHAnsi" w:eastAsiaTheme="minorHAnsi" w:hAnsiTheme="minorHAnsi"/>
                <w:sz w:val="18"/>
                <w:szCs w:val="18"/>
              </w:rPr>
              <w:t xml:space="preserve"> Branham,</w:t>
            </w:r>
            <w:r w:rsidRPr="00F935BF">
              <w:rPr>
                <w:rFonts w:asciiTheme="minorHAnsi" w:eastAsiaTheme="minorHAnsi" w:hAnsiTheme="minorHAnsi"/>
                <w:sz w:val="18"/>
                <w:szCs w:val="18"/>
              </w:rPr>
              <w:t xml:space="preserve"> Collins, Schuster, &amp; Kleinert, </w:t>
            </w:r>
            <w:r w:rsidR="00D47CFE" w:rsidRPr="00F935BF">
              <w:rPr>
                <w:rFonts w:asciiTheme="minorHAnsi" w:eastAsiaTheme="minorHAnsi" w:hAnsiTheme="minorHAnsi"/>
                <w:sz w:val="18"/>
                <w:szCs w:val="18"/>
              </w:rPr>
              <w:t>199</w:t>
            </w:r>
            <w:r w:rsidRPr="00F935BF">
              <w:rPr>
                <w:rFonts w:asciiTheme="minorHAnsi" w:eastAsiaTheme="minorHAnsi" w:hAnsiTheme="minorHAnsi"/>
                <w:sz w:val="18"/>
                <w:szCs w:val="18"/>
              </w:rPr>
              <w:t>9; Collins, Stinson, &amp; Land, 1993</w:t>
            </w:r>
            <w:r w:rsidR="00D47CFE" w:rsidRPr="00F935BF">
              <w:rPr>
                <w:rFonts w:asciiTheme="minorHAnsi" w:eastAsiaTheme="minorHAnsi" w:hAnsiTheme="minorHAnsi"/>
                <w:sz w:val="18"/>
                <w:szCs w:val="18"/>
              </w:rPr>
              <w:t xml:space="preserve"> </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Counting Money</w:t>
            </w:r>
          </w:p>
        </w:tc>
        <w:tc>
          <w:tcPr>
            <w:tcW w:w="2980" w:type="pct"/>
          </w:tcPr>
          <w:p w:rsidR="00A2612C" w:rsidRPr="00F935BF" w:rsidRDefault="0047170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the one-more-t</w:t>
            </w:r>
            <w:r w:rsidR="00D47CFE" w:rsidRPr="00F935BF">
              <w:rPr>
                <w:rFonts w:asciiTheme="minorHAnsi" w:eastAsiaTheme="minorHAnsi" w:hAnsiTheme="minorHAnsi"/>
                <w:sz w:val="20"/>
                <w:szCs w:val="20"/>
              </w:rPr>
              <w:t>han</w:t>
            </w:r>
            <w:r w:rsidRPr="00F935BF">
              <w:rPr>
                <w:rFonts w:asciiTheme="minorHAnsi" w:eastAsiaTheme="minorHAnsi" w:hAnsiTheme="minorHAnsi"/>
                <w:sz w:val="20"/>
                <w:szCs w:val="20"/>
              </w:rPr>
              <w:t xml:space="preserve"> s</w:t>
            </w:r>
            <w:r w:rsidR="00D47CFE" w:rsidRPr="00F935BF">
              <w:rPr>
                <w:rFonts w:asciiTheme="minorHAnsi" w:eastAsiaTheme="minorHAnsi" w:hAnsiTheme="minorHAnsi"/>
                <w:sz w:val="20"/>
                <w:szCs w:val="20"/>
              </w:rPr>
              <w:t>trategy</w:t>
            </w:r>
          </w:p>
        </w:tc>
        <w:tc>
          <w:tcPr>
            <w:tcW w:w="883" w:type="pct"/>
          </w:tcPr>
          <w:p w:rsidR="00A2612C" w:rsidRPr="00F935BF" w:rsidRDefault="00D47CF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Te</w:t>
            </w:r>
            <w:r w:rsidR="007927EE" w:rsidRPr="00F935BF">
              <w:rPr>
                <w:rFonts w:asciiTheme="minorHAnsi" w:eastAsiaTheme="minorHAnsi" w:hAnsiTheme="minorHAnsi"/>
                <w:sz w:val="18"/>
                <w:szCs w:val="18"/>
              </w:rPr>
              <w:t xml:space="preserve">st, Howell, Burkhart, &amp; Beroth, 1993; Colyer &amp; Collins, </w:t>
            </w:r>
            <w:r w:rsidRPr="00F935BF">
              <w:rPr>
                <w:rFonts w:asciiTheme="minorHAnsi" w:eastAsiaTheme="minorHAnsi" w:hAnsiTheme="minorHAnsi"/>
                <w:sz w:val="18"/>
                <w:szCs w:val="18"/>
              </w:rPr>
              <w:t>1996</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Employment Skills</w:t>
            </w:r>
          </w:p>
        </w:tc>
        <w:tc>
          <w:tcPr>
            <w:tcW w:w="2980" w:type="pct"/>
          </w:tcPr>
          <w:p w:rsidR="00A2612C" w:rsidRPr="00F935BF" w:rsidRDefault="00D47CFE" w:rsidP="00C555FB">
            <w:pPr>
              <w:pStyle w:val="ListParagraph"/>
              <w:numPr>
                <w:ilvl w:val="0"/>
                <w:numId w:val="18"/>
              </w:numPr>
              <w:rPr>
                <w:rFonts w:asciiTheme="minorHAnsi" w:eastAsiaTheme="minorHAnsi" w:hAnsiTheme="minorHAnsi"/>
                <w:sz w:val="20"/>
                <w:szCs w:val="20"/>
              </w:rPr>
            </w:pPr>
            <w:r w:rsidRPr="00F935BF">
              <w:rPr>
                <w:rFonts w:asciiTheme="minorHAnsi" w:eastAsiaTheme="minorHAnsi" w:hAnsiTheme="minorHAnsi"/>
                <w:sz w:val="20"/>
                <w:szCs w:val="20"/>
              </w:rPr>
              <w:t xml:space="preserve">Using </w:t>
            </w:r>
            <w:r w:rsidR="0047170E" w:rsidRPr="00F935BF">
              <w:rPr>
                <w:rFonts w:asciiTheme="minorHAnsi" w:eastAsiaTheme="minorHAnsi" w:hAnsiTheme="minorHAnsi"/>
                <w:sz w:val="20"/>
                <w:szCs w:val="20"/>
              </w:rPr>
              <w:t>c</w:t>
            </w:r>
            <w:r w:rsidRPr="00F935BF">
              <w:rPr>
                <w:rFonts w:asciiTheme="minorHAnsi" w:eastAsiaTheme="minorHAnsi" w:hAnsiTheme="minorHAnsi"/>
                <w:sz w:val="20"/>
                <w:szCs w:val="20"/>
              </w:rPr>
              <w:t>ommunity-</w:t>
            </w:r>
            <w:r w:rsidR="0047170E" w:rsidRPr="00F935BF">
              <w:rPr>
                <w:rFonts w:asciiTheme="minorHAnsi" w:eastAsiaTheme="minorHAnsi" w:hAnsiTheme="minorHAnsi"/>
                <w:sz w:val="20"/>
                <w:szCs w:val="20"/>
              </w:rPr>
              <w:t>based i</w:t>
            </w:r>
            <w:r w:rsidRPr="00F935BF">
              <w:rPr>
                <w:rFonts w:asciiTheme="minorHAnsi" w:eastAsiaTheme="minorHAnsi" w:hAnsiTheme="minorHAnsi"/>
                <w:sz w:val="20"/>
                <w:szCs w:val="20"/>
              </w:rPr>
              <w:t>nstruction</w:t>
            </w:r>
          </w:p>
          <w:p w:rsidR="00D47CFE" w:rsidRPr="00F935BF" w:rsidRDefault="00D47CFE" w:rsidP="00C555FB">
            <w:pPr>
              <w:pStyle w:val="ListParagraph"/>
              <w:numPr>
                <w:ilvl w:val="0"/>
                <w:numId w:val="18"/>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tc>
        <w:tc>
          <w:tcPr>
            <w:tcW w:w="883" w:type="pct"/>
          </w:tcPr>
          <w:p w:rsidR="00D47CFE" w:rsidRPr="00F935BF" w:rsidRDefault="00D47CFE" w:rsidP="00D47CF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Bates, Cuvo, Miner, &amp; Kora</w:t>
            </w:r>
            <w:r w:rsidR="007927EE" w:rsidRPr="00F935BF">
              <w:rPr>
                <w:rFonts w:asciiTheme="minorHAnsi" w:eastAsiaTheme="minorHAnsi" w:hAnsiTheme="minorHAnsi"/>
                <w:sz w:val="18"/>
                <w:szCs w:val="18"/>
              </w:rPr>
              <w:t xml:space="preserve">bek, 1999; </w:t>
            </w:r>
            <w:r w:rsidRPr="00F935BF">
              <w:rPr>
                <w:rFonts w:asciiTheme="minorHAnsi" w:eastAsiaTheme="minorHAnsi" w:hAnsiTheme="minorHAnsi"/>
                <w:sz w:val="18"/>
                <w:szCs w:val="18"/>
              </w:rPr>
              <w:t xml:space="preserve"> </w:t>
            </w:r>
            <w:r w:rsidRPr="00F935BF">
              <w:rPr>
                <w:rFonts w:asciiTheme="minorHAnsi" w:eastAsiaTheme="minorHAnsi" w:hAnsiTheme="minorHAnsi"/>
                <w:sz w:val="18"/>
                <w:szCs w:val="18"/>
              </w:rPr>
              <w:lastRenderedPageBreak/>
              <w:t>Ciha, Al</w:t>
            </w:r>
            <w:r w:rsidR="007927EE" w:rsidRPr="00F935BF">
              <w:rPr>
                <w:rFonts w:asciiTheme="minorHAnsi" w:eastAsiaTheme="minorHAnsi" w:hAnsiTheme="minorHAnsi"/>
                <w:sz w:val="18"/>
                <w:szCs w:val="18"/>
              </w:rPr>
              <w:t xml:space="preserve">berto, Kessler, &amp; Taber, 2004; </w:t>
            </w:r>
          </w:p>
          <w:p w:rsidR="00A2612C" w:rsidRPr="00F935BF" w:rsidRDefault="00D47CFE" w:rsidP="007927E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DiP</w:t>
            </w:r>
            <w:r w:rsidR="007927EE" w:rsidRPr="00F935BF">
              <w:rPr>
                <w:rFonts w:asciiTheme="minorHAnsi" w:eastAsiaTheme="minorHAnsi" w:hAnsiTheme="minorHAnsi"/>
                <w:sz w:val="18"/>
                <w:szCs w:val="18"/>
              </w:rPr>
              <w:t xml:space="preserve">ipi-Hoy, Jitendra, &amp; Kern, 2009; </w:t>
            </w:r>
            <w:r w:rsidRPr="00F935BF">
              <w:rPr>
                <w:rFonts w:asciiTheme="minorHAnsi" w:eastAsiaTheme="minorHAnsi" w:hAnsiTheme="minorHAnsi"/>
                <w:sz w:val="18"/>
                <w:szCs w:val="18"/>
              </w:rPr>
              <w:t>Berg &amp; Wacker</w:t>
            </w:r>
            <w:r w:rsidR="007927EE" w:rsidRPr="00F935BF">
              <w:rPr>
                <w:rFonts w:asciiTheme="minorHAnsi" w:eastAsiaTheme="minorHAnsi" w:hAnsiTheme="minorHAnsi"/>
                <w:sz w:val="18"/>
                <w:szCs w:val="18"/>
              </w:rPr>
              <w:t xml:space="preserve">, 1989; </w:t>
            </w:r>
            <w:r w:rsidRPr="00F935BF">
              <w:rPr>
                <w:rFonts w:asciiTheme="minorHAnsi" w:eastAsiaTheme="minorHAnsi" w:hAnsiTheme="minorHAnsi"/>
                <w:sz w:val="18"/>
                <w:szCs w:val="18"/>
              </w:rPr>
              <w:t xml:space="preserve"> Mitchell</w:t>
            </w:r>
            <w:r w:rsidR="007927EE" w:rsidRPr="00F935BF">
              <w:rPr>
                <w:rFonts w:asciiTheme="minorHAnsi" w:eastAsiaTheme="minorHAnsi" w:hAnsiTheme="minorHAnsi"/>
                <w:sz w:val="18"/>
                <w:szCs w:val="18"/>
              </w:rPr>
              <w:t xml:space="preserve">, Schuster, Collins, &amp; Gassaway, 2000; </w:t>
            </w:r>
            <w:r w:rsidRPr="00F935BF">
              <w:rPr>
                <w:rFonts w:asciiTheme="minorHAnsi" w:eastAsiaTheme="minorHAnsi" w:hAnsiTheme="minorHAnsi"/>
                <w:sz w:val="18"/>
                <w:szCs w:val="18"/>
              </w:rPr>
              <w:t xml:space="preserve"> Sowers, Verdi, Bourbeau, &amp; Sheehan</w:t>
            </w:r>
            <w:r w:rsidR="007927EE" w:rsidRPr="00F935BF">
              <w:rPr>
                <w:rFonts w:asciiTheme="minorHAnsi" w:eastAsiaTheme="minorHAnsi" w:hAnsiTheme="minorHAnsi"/>
                <w:sz w:val="18"/>
                <w:szCs w:val="18"/>
              </w:rPr>
              <w:t>, 1985</w:t>
            </w:r>
          </w:p>
        </w:tc>
      </w:tr>
      <w:tr w:rsidR="00A2612C" w:rsidRPr="00F935BF" w:rsidTr="0047170E">
        <w:trPr>
          <w:trHeight w:val="368"/>
        </w:trPr>
        <w:tc>
          <w:tcPr>
            <w:tcW w:w="1137" w:type="pct"/>
          </w:tcPr>
          <w:p w:rsidR="00A2612C" w:rsidRPr="00F935BF" w:rsidRDefault="00D47CF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Food Preparation and Cooking Skills</w:t>
            </w:r>
          </w:p>
        </w:tc>
        <w:tc>
          <w:tcPr>
            <w:tcW w:w="2980" w:type="pct"/>
          </w:tcPr>
          <w:p w:rsidR="00A2612C" w:rsidRPr="00F935BF" w:rsidRDefault="00D47CF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computer-assisted instruction</w:t>
            </w:r>
          </w:p>
          <w:p w:rsidR="00D47CFE" w:rsidRPr="00F935BF" w:rsidRDefault="00D47CF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constant time delay</w:t>
            </w:r>
          </w:p>
          <w:p w:rsidR="00D47CFE" w:rsidRPr="00F935BF" w:rsidRDefault="00D47CF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least-to-most prompting</w:t>
            </w:r>
          </w:p>
          <w:p w:rsidR="00D47CFE" w:rsidRPr="00F935BF" w:rsidRDefault="00D47CF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p w:rsidR="00D47CFE" w:rsidRPr="00F935BF" w:rsidRDefault="00D47CFE" w:rsidP="00C555FB">
            <w:pPr>
              <w:pStyle w:val="ListParagraph"/>
              <w:numPr>
                <w:ilvl w:val="0"/>
                <w:numId w:val="24"/>
              </w:numPr>
              <w:rPr>
                <w:rFonts w:asciiTheme="minorHAnsi" w:eastAsiaTheme="minorHAnsi" w:hAnsiTheme="minorHAnsi"/>
                <w:sz w:val="20"/>
                <w:szCs w:val="20"/>
              </w:rPr>
            </w:pPr>
            <w:r w:rsidRPr="00F935BF">
              <w:rPr>
                <w:rFonts w:asciiTheme="minorHAnsi" w:eastAsiaTheme="minorHAnsi" w:hAnsiTheme="minorHAnsi"/>
                <w:sz w:val="20"/>
                <w:szCs w:val="20"/>
              </w:rPr>
              <w:t>Using video modeling</w:t>
            </w:r>
          </w:p>
        </w:tc>
        <w:tc>
          <w:tcPr>
            <w:tcW w:w="883" w:type="pct"/>
          </w:tcPr>
          <w:p w:rsidR="00A2612C" w:rsidRPr="00F935BF" w:rsidRDefault="007927EE" w:rsidP="007927EE">
            <w:pPr>
              <w:ind w:left="0" w:firstLine="0"/>
              <w:rPr>
                <w:rFonts w:asciiTheme="minorHAnsi" w:eastAsiaTheme="minorHAnsi" w:hAnsiTheme="minorHAnsi"/>
                <w:sz w:val="18"/>
                <w:szCs w:val="18"/>
              </w:rPr>
            </w:pPr>
            <w:r w:rsidRPr="00F935BF">
              <w:rPr>
                <w:rFonts w:asciiTheme="minorHAnsi" w:hAnsiTheme="minorHAnsi"/>
                <w:color w:val="000000"/>
                <w:sz w:val="18"/>
                <w:szCs w:val="18"/>
              </w:rPr>
              <w:t>Ayers &amp; Cihak, 2010;  Mechling, Gast, &amp; Fields</w:t>
            </w:r>
            <w:r w:rsidR="00FA0F03" w:rsidRPr="00F935BF">
              <w:rPr>
                <w:rFonts w:asciiTheme="minorHAnsi" w:hAnsiTheme="minorHAnsi"/>
                <w:color w:val="000000"/>
                <w:sz w:val="18"/>
                <w:szCs w:val="18"/>
              </w:rPr>
              <w:t>,</w:t>
            </w:r>
            <w:r w:rsidRPr="00F935BF">
              <w:rPr>
                <w:rFonts w:asciiTheme="minorHAnsi" w:hAnsiTheme="minorHAnsi"/>
                <w:color w:val="000000"/>
                <w:sz w:val="18"/>
                <w:szCs w:val="18"/>
              </w:rPr>
              <w:t xml:space="preserve"> 2008;  Mechling &amp; Stephens, 2009; Bozkurt &amp; Gursel, 2005; </w:t>
            </w:r>
            <w:r w:rsidR="00FA0F03" w:rsidRPr="00F935BF">
              <w:rPr>
                <w:rFonts w:asciiTheme="minorHAnsi" w:hAnsiTheme="minorHAnsi"/>
                <w:color w:val="000000"/>
                <w:sz w:val="18"/>
                <w:szCs w:val="18"/>
              </w:rPr>
              <w:t>Griffen, Wolery, &amp; Schuster</w:t>
            </w:r>
            <w:r w:rsidRPr="00F935BF">
              <w:rPr>
                <w:rFonts w:asciiTheme="minorHAnsi" w:hAnsiTheme="minorHAnsi"/>
                <w:color w:val="000000"/>
                <w:sz w:val="18"/>
                <w:szCs w:val="18"/>
              </w:rPr>
              <w:t xml:space="preserve">, 1992; </w:t>
            </w:r>
            <w:r w:rsidR="00FA0F03" w:rsidRPr="00F935BF">
              <w:rPr>
                <w:rFonts w:asciiTheme="minorHAnsi" w:hAnsiTheme="minorHAnsi"/>
                <w:color w:val="000000"/>
                <w:sz w:val="18"/>
                <w:szCs w:val="18"/>
              </w:rPr>
              <w:t xml:space="preserve"> Hall, Schust</w:t>
            </w:r>
            <w:r w:rsidRPr="00F935BF">
              <w:rPr>
                <w:rFonts w:asciiTheme="minorHAnsi" w:hAnsiTheme="minorHAnsi"/>
                <w:color w:val="000000"/>
                <w:sz w:val="18"/>
                <w:szCs w:val="18"/>
              </w:rPr>
              <w:t xml:space="preserve">er, Wolery, Gast, &amp; Doyle, 1992;  Schuster, Gast, &amp; Wolery, 1988; Schuster &amp; Griffen, 1991; </w:t>
            </w:r>
            <w:r w:rsidR="00FA0F03" w:rsidRPr="00F935BF">
              <w:rPr>
                <w:rFonts w:asciiTheme="minorHAnsi" w:hAnsiTheme="minorHAnsi"/>
                <w:color w:val="000000"/>
                <w:sz w:val="18"/>
                <w:szCs w:val="18"/>
              </w:rPr>
              <w:t xml:space="preserve"> Wolery, Aul</w:t>
            </w:r>
            <w:r w:rsidRPr="00F935BF">
              <w:rPr>
                <w:rFonts w:asciiTheme="minorHAnsi" w:hAnsiTheme="minorHAnsi"/>
                <w:color w:val="000000"/>
                <w:sz w:val="18"/>
                <w:szCs w:val="18"/>
              </w:rPr>
              <w:t>t, Gast, Doyle, &amp; Griffen</w:t>
            </w:r>
            <w:r w:rsidR="00FA0F03" w:rsidRPr="00F935BF">
              <w:rPr>
                <w:rFonts w:asciiTheme="minorHAnsi" w:hAnsiTheme="minorHAnsi"/>
                <w:color w:val="000000"/>
                <w:sz w:val="18"/>
                <w:szCs w:val="18"/>
              </w:rPr>
              <w:t>,</w:t>
            </w:r>
            <w:r w:rsidRPr="00F935BF">
              <w:rPr>
                <w:rFonts w:asciiTheme="minorHAnsi" w:hAnsiTheme="minorHAnsi"/>
                <w:color w:val="000000"/>
                <w:sz w:val="18"/>
                <w:szCs w:val="18"/>
              </w:rPr>
              <w:t xml:space="preserve"> 1991;  Horsfall &amp; Maggs</w:t>
            </w:r>
            <w:r w:rsidR="00FA0F03" w:rsidRPr="00F935BF">
              <w:rPr>
                <w:rFonts w:asciiTheme="minorHAnsi" w:hAnsiTheme="minorHAnsi"/>
                <w:color w:val="000000"/>
                <w:sz w:val="18"/>
                <w:szCs w:val="18"/>
              </w:rPr>
              <w:t>,</w:t>
            </w:r>
            <w:r w:rsidRPr="00F935BF">
              <w:rPr>
                <w:rFonts w:asciiTheme="minorHAnsi" w:hAnsiTheme="minorHAnsi"/>
                <w:color w:val="000000"/>
                <w:sz w:val="18"/>
                <w:szCs w:val="18"/>
              </w:rPr>
              <w:t xml:space="preserve"> 1986; </w:t>
            </w:r>
            <w:r w:rsidR="00FA0F03" w:rsidRPr="00F935BF">
              <w:rPr>
                <w:rFonts w:asciiTheme="minorHAnsi" w:hAnsiTheme="minorHAnsi"/>
                <w:color w:val="000000"/>
                <w:sz w:val="18"/>
                <w:szCs w:val="18"/>
              </w:rPr>
              <w:t xml:space="preserve"> </w:t>
            </w:r>
            <w:r w:rsidRPr="00F935BF">
              <w:rPr>
                <w:rFonts w:asciiTheme="minorHAnsi" w:hAnsiTheme="minorHAnsi"/>
                <w:color w:val="000000"/>
                <w:sz w:val="18"/>
                <w:szCs w:val="18"/>
              </w:rPr>
              <w:t xml:space="preserve">Steege, Wacker, &amp; McMahon, 1987;  Lasater &amp; Brady, 1995; </w:t>
            </w:r>
            <w:r w:rsidR="00FA0F03" w:rsidRPr="00F935BF">
              <w:rPr>
                <w:rFonts w:asciiTheme="minorHAnsi" w:hAnsiTheme="minorHAnsi"/>
                <w:color w:val="000000"/>
                <w:sz w:val="18"/>
                <w:szCs w:val="18"/>
              </w:rPr>
              <w:t>Mechling, Gas</w:t>
            </w:r>
            <w:r w:rsidRPr="00F935BF">
              <w:rPr>
                <w:rFonts w:asciiTheme="minorHAnsi" w:hAnsiTheme="minorHAnsi"/>
                <w:color w:val="000000"/>
                <w:sz w:val="18"/>
                <w:szCs w:val="18"/>
              </w:rPr>
              <w:t xml:space="preserve">t, &amp; Gustafson, 2009;  Mechling &amp; Gustafson, 2009; Mechling &amp; Stephens, 2009; </w:t>
            </w:r>
            <w:r w:rsidR="00FA0F03" w:rsidRPr="00F935BF">
              <w:rPr>
                <w:rFonts w:asciiTheme="minorHAnsi" w:hAnsiTheme="minorHAnsi"/>
                <w:color w:val="000000"/>
                <w:sz w:val="18"/>
                <w:szCs w:val="18"/>
              </w:rPr>
              <w:t xml:space="preserve"> Tras</w:t>
            </w:r>
            <w:r w:rsidRPr="00F935BF">
              <w:rPr>
                <w:rFonts w:asciiTheme="minorHAnsi" w:hAnsiTheme="minorHAnsi"/>
                <w:color w:val="000000"/>
                <w:sz w:val="18"/>
                <w:szCs w:val="18"/>
              </w:rPr>
              <w:t>k-Tyler, Grossi, &amp; Heward</w:t>
            </w:r>
            <w:r w:rsidR="00FA0F03" w:rsidRPr="00F935BF">
              <w:rPr>
                <w:rFonts w:asciiTheme="minorHAnsi" w:hAnsiTheme="minorHAnsi"/>
                <w:color w:val="000000"/>
                <w:sz w:val="18"/>
                <w:szCs w:val="18"/>
              </w:rPr>
              <w:t>,</w:t>
            </w:r>
            <w:r w:rsidRPr="00F935BF">
              <w:rPr>
                <w:rFonts w:asciiTheme="minorHAnsi" w:hAnsiTheme="minorHAnsi"/>
                <w:color w:val="000000"/>
                <w:sz w:val="18"/>
                <w:szCs w:val="18"/>
              </w:rPr>
              <w:t xml:space="preserve">1994; </w:t>
            </w:r>
            <w:r w:rsidR="00FA0F03" w:rsidRPr="00F935BF">
              <w:rPr>
                <w:rFonts w:asciiTheme="minorHAnsi" w:hAnsiTheme="minorHAnsi"/>
                <w:color w:val="000000"/>
                <w:sz w:val="18"/>
                <w:szCs w:val="18"/>
              </w:rPr>
              <w:t xml:space="preserve"> Van Laarhoven &amp; Van Laarhoven-Myers</w:t>
            </w:r>
            <w:r w:rsidRPr="00F935BF">
              <w:rPr>
                <w:rFonts w:asciiTheme="minorHAnsi" w:hAnsiTheme="minorHAnsi"/>
                <w:color w:val="000000"/>
                <w:sz w:val="18"/>
                <w:szCs w:val="18"/>
              </w:rPr>
              <w:t>, 2006</w:t>
            </w:r>
          </w:p>
        </w:tc>
      </w:tr>
      <w:tr w:rsidR="00A2612C" w:rsidRPr="00F935BF" w:rsidTr="0047170E">
        <w:trPr>
          <w:trHeight w:val="368"/>
        </w:trPr>
        <w:tc>
          <w:tcPr>
            <w:tcW w:w="1137" w:type="pct"/>
          </w:tcPr>
          <w:p w:rsidR="00A2612C" w:rsidRPr="00F935BF" w:rsidRDefault="00FA0F03"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Functional Life Skills</w:t>
            </w:r>
          </w:p>
        </w:tc>
        <w:tc>
          <w:tcPr>
            <w:tcW w:w="2980" w:type="pct"/>
          </w:tcPr>
          <w:p w:rsidR="00A2612C"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backward chaining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constant time delay</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forward chaining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least-to-most prompting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progressive time delay</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self-monitoring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simultaneous prompting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system of most-to-least prompting</w:t>
            </w:r>
          </w:p>
          <w:p w:rsidR="00FA0F03" w:rsidRPr="00F935BF" w:rsidRDefault="00FA0F03" w:rsidP="00C555FB">
            <w:pPr>
              <w:pStyle w:val="ListParagraph"/>
              <w:numPr>
                <w:ilvl w:val="0"/>
                <w:numId w:val="25"/>
              </w:numPr>
              <w:rPr>
                <w:rFonts w:asciiTheme="minorHAnsi" w:eastAsiaTheme="minorHAnsi" w:hAnsiTheme="minorHAnsi"/>
                <w:sz w:val="20"/>
                <w:szCs w:val="20"/>
              </w:rPr>
            </w:pPr>
            <w:r w:rsidRPr="00F935BF">
              <w:rPr>
                <w:rFonts w:asciiTheme="minorHAnsi" w:eastAsiaTheme="minorHAnsi" w:hAnsiTheme="minorHAnsi"/>
                <w:sz w:val="20"/>
                <w:szCs w:val="20"/>
              </w:rPr>
              <w:t>Using total task chaining</w:t>
            </w:r>
          </w:p>
        </w:tc>
        <w:tc>
          <w:tcPr>
            <w:tcW w:w="883" w:type="pct"/>
          </w:tcPr>
          <w:p w:rsidR="00A2612C" w:rsidRPr="00F935BF" w:rsidRDefault="00FA0F03" w:rsidP="007927EE">
            <w:pPr>
              <w:ind w:left="0" w:firstLine="0"/>
              <w:rPr>
                <w:rFonts w:asciiTheme="minorHAnsi" w:eastAsiaTheme="minorHAnsi" w:hAnsiTheme="minorHAnsi"/>
                <w:sz w:val="18"/>
                <w:szCs w:val="18"/>
              </w:rPr>
            </w:pPr>
            <w:r w:rsidRPr="00F935BF">
              <w:rPr>
                <w:rFonts w:asciiTheme="minorHAnsi" w:eastAsiaTheme="minorHAnsi" w:hAnsiTheme="minorHAnsi"/>
                <w:color w:val="000000"/>
                <w:sz w:val="18"/>
                <w:szCs w:val="18"/>
              </w:rPr>
              <w:t xml:space="preserve">McDonnell &amp; Ferguson, 1989; McDonnell &amp; Laughlin, 1989; O'Conner &amp; Cuvo, 1989; Vandercook, 1991, Collins &amp; Stinson, 1994-1995; Collins, Stinson, &amp; Land, 1993; McDonnell, 1987; Sandknop, </w:t>
            </w:r>
            <w:r w:rsidRPr="00F935BF">
              <w:rPr>
                <w:rFonts w:asciiTheme="minorHAnsi" w:eastAsiaTheme="minorHAnsi" w:hAnsiTheme="minorHAnsi"/>
                <w:color w:val="000000"/>
                <w:sz w:val="18"/>
                <w:szCs w:val="18"/>
              </w:rPr>
              <w:lastRenderedPageBreak/>
              <w:t>Schuster, Wolery, &amp; Cross, 1992</w:t>
            </w:r>
            <w:r w:rsidR="002A464C" w:rsidRPr="00F935BF">
              <w:rPr>
                <w:rFonts w:asciiTheme="minorHAnsi" w:eastAsiaTheme="minorHAnsi" w:hAnsiTheme="minorHAnsi"/>
                <w:color w:val="000000"/>
                <w:sz w:val="18"/>
                <w:szCs w:val="18"/>
              </w:rPr>
              <w:t>, McDonnell 1987, Sandknop, Schuster, Wolery, &amp; Cross 1992, Branham, Collins, Schuster, &amp; Kleinert, 1999, Miller &amp; Test, 1989, Wolery</w:t>
            </w:r>
            <w:r w:rsidR="007927EE" w:rsidRPr="00F935BF">
              <w:rPr>
                <w:rFonts w:asciiTheme="minorHAnsi" w:eastAsiaTheme="minorHAnsi" w:hAnsiTheme="minorHAnsi"/>
                <w:color w:val="000000"/>
                <w:sz w:val="18"/>
                <w:szCs w:val="18"/>
              </w:rPr>
              <w:t xml:space="preserve">, Ault, Gast, Doyle, &amp; Griffen, </w:t>
            </w:r>
            <w:r w:rsidR="002A464C" w:rsidRPr="00F935BF">
              <w:rPr>
                <w:rFonts w:asciiTheme="minorHAnsi" w:eastAsiaTheme="minorHAnsi" w:hAnsiTheme="minorHAnsi"/>
                <w:color w:val="000000"/>
                <w:sz w:val="18"/>
                <w:szCs w:val="18"/>
              </w:rPr>
              <w:t>1991</w:t>
            </w:r>
            <w:r w:rsidR="007927EE" w:rsidRPr="00F935BF">
              <w:rPr>
                <w:rFonts w:asciiTheme="minorHAnsi" w:eastAsiaTheme="minorHAnsi" w:hAnsiTheme="minorHAnsi"/>
                <w:color w:val="000000"/>
                <w:sz w:val="18"/>
                <w:szCs w:val="18"/>
              </w:rPr>
              <w:t xml:space="preserve">; </w:t>
            </w:r>
            <w:r w:rsidR="002A464C" w:rsidRPr="00F935BF">
              <w:rPr>
                <w:rFonts w:asciiTheme="minorHAnsi" w:hAnsiTheme="minorHAnsi"/>
                <w:sz w:val="18"/>
                <w:szCs w:val="18"/>
              </w:rPr>
              <w:t xml:space="preserve"> </w:t>
            </w:r>
            <w:r w:rsidR="002A464C" w:rsidRPr="00F935BF">
              <w:rPr>
                <w:rFonts w:asciiTheme="minorHAnsi" w:eastAsiaTheme="minorHAnsi" w:hAnsiTheme="minorHAnsi"/>
                <w:color w:val="000000"/>
                <w:sz w:val="18"/>
                <w:szCs w:val="18"/>
              </w:rPr>
              <w:t>Horsfall &amp; Maggs</w:t>
            </w:r>
            <w:r w:rsidR="007927EE" w:rsidRPr="00F935BF">
              <w:rPr>
                <w:rFonts w:asciiTheme="minorHAnsi" w:eastAsiaTheme="minorHAnsi" w:hAnsiTheme="minorHAnsi"/>
                <w:color w:val="000000"/>
                <w:sz w:val="18"/>
                <w:szCs w:val="18"/>
              </w:rPr>
              <w:t>,</w:t>
            </w:r>
            <w:r w:rsidR="002A464C" w:rsidRPr="00F935BF">
              <w:rPr>
                <w:rFonts w:asciiTheme="minorHAnsi" w:eastAsiaTheme="minorHAnsi" w:hAnsiTheme="minorHAnsi"/>
                <w:color w:val="000000"/>
                <w:sz w:val="18"/>
                <w:szCs w:val="18"/>
              </w:rPr>
              <w:t>1986</w:t>
            </w:r>
            <w:r w:rsidR="007927EE" w:rsidRPr="00F935BF">
              <w:rPr>
                <w:rFonts w:asciiTheme="minorHAnsi" w:eastAsiaTheme="minorHAnsi" w:hAnsiTheme="minorHAnsi"/>
                <w:color w:val="000000"/>
                <w:sz w:val="18"/>
                <w:szCs w:val="18"/>
              </w:rPr>
              <w:t>;</w:t>
            </w:r>
            <w:r w:rsidR="002A464C" w:rsidRPr="00F935BF">
              <w:rPr>
                <w:rFonts w:asciiTheme="minorHAnsi" w:hAnsiTheme="minorHAnsi"/>
                <w:sz w:val="18"/>
                <w:szCs w:val="18"/>
              </w:rPr>
              <w:t xml:space="preserve"> </w:t>
            </w:r>
            <w:r w:rsidR="007927EE" w:rsidRPr="00F935BF">
              <w:rPr>
                <w:rFonts w:asciiTheme="minorHAnsi" w:eastAsiaTheme="minorHAnsi" w:hAnsiTheme="minorHAnsi"/>
                <w:color w:val="000000"/>
                <w:sz w:val="18"/>
                <w:szCs w:val="18"/>
              </w:rPr>
              <w:t xml:space="preserve">McDonnell &amp; McFarland, </w:t>
            </w:r>
            <w:r w:rsidR="002A464C" w:rsidRPr="00F935BF">
              <w:rPr>
                <w:rFonts w:asciiTheme="minorHAnsi" w:eastAsiaTheme="minorHAnsi" w:hAnsiTheme="minorHAnsi"/>
                <w:color w:val="000000"/>
                <w:sz w:val="18"/>
                <w:szCs w:val="18"/>
              </w:rPr>
              <w:t>1988</w:t>
            </w:r>
          </w:p>
        </w:tc>
      </w:tr>
      <w:tr w:rsidR="00B3038E" w:rsidRPr="00F935BF" w:rsidTr="0047170E">
        <w:trPr>
          <w:trHeight w:val="368"/>
        </w:trPr>
        <w:tc>
          <w:tcPr>
            <w:tcW w:w="1137" w:type="pct"/>
          </w:tcPr>
          <w:p w:rsidR="00B3038E" w:rsidRPr="00F935BF" w:rsidRDefault="00277DA2" w:rsidP="00277DA2">
            <w:pPr>
              <w:pStyle w:val="ListParagraph"/>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Goal Attainment</w:t>
            </w:r>
          </w:p>
        </w:tc>
        <w:tc>
          <w:tcPr>
            <w:tcW w:w="2980" w:type="pct"/>
          </w:tcPr>
          <w:p w:rsidR="00B3038E" w:rsidRPr="00F935BF" w:rsidRDefault="00277DA2" w:rsidP="00C555FB">
            <w:pPr>
              <w:pStyle w:val="ListParagraph"/>
              <w:numPr>
                <w:ilvl w:val="0"/>
                <w:numId w:val="26"/>
              </w:numPr>
              <w:rPr>
                <w:rFonts w:asciiTheme="minorHAnsi" w:eastAsiaTheme="minorHAnsi" w:hAnsiTheme="minorHAnsi"/>
                <w:sz w:val="20"/>
                <w:szCs w:val="20"/>
              </w:rPr>
            </w:pPr>
            <w:r w:rsidRPr="00F935BF">
              <w:rPr>
                <w:rFonts w:asciiTheme="minorHAnsi" w:eastAsiaTheme="minorHAnsi" w:hAnsiTheme="minorHAnsi"/>
                <w:sz w:val="20"/>
                <w:szCs w:val="20"/>
              </w:rPr>
              <w:t xml:space="preserve">Using </w:t>
            </w:r>
            <w:r w:rsidRPr="00F935BF">
              <w:rPr>
                <w:rFonts w:asciiTheme="minorHAnsi" w:eastAsiaTheme="minorHAnsi" w:hAnsiTheme="minorHAnsi"/>
                <w:i/>
                <w:sz w:val="20"/>
                <w:szCs w:val="20"/>
              </w:rPr>
              <w:t>Self-Determined Learning Model of Instruction</w:t>
            </w:r>
          </w:p>
        </w:tc>
        <w:tc>
          <w:tcPr>
            <w:tcW w:w="883" w:type="pct"/>
          </w:tcPr>
          <w:p w:rsidR="00B3038E" w:rsidRPr="00F935BF" w:rsidRDefault="00277DA2" w:rsidP="0047170E">
            <w:pPr>
              <w:ind w:left="0" w:firstLine="0"/>
              <w:rPr>
                <w:rFonts w:asciiTheme="minorHAnsi" w:eastAsiaTheme="minorHAnsi" w:hAnsiTheme="minorHAnsi"/>
                <w:sz w:val="18"/>
                <w:szCs w:val="18"/>
              </w:rPr>
            </w:pPr>
            <w:r w:rsidRPr="00F935BF">
              <w:rPr>
                <w:rFonts w:asciiTheme="minorHAnsi" w:eastAsiaTheme="minorHAnsi" w:hAnsiTheme="minorHAnsi"/>
                <w:color w:val="000000"/>
                <w:sz w:val="18"/>
                <w:szCs w:val="18"/>
              </w:rPr>
              <w:t>Lee, Wehmeyer, Palmer, Soukup, &amp; Little</w:t>
            </w:r>
            <w:r w:rsidR="007927EE" w:rsidRPr="00F935BF">
              <w:rPr>
                <w:rFonts w:asciiTheme="minorHAnsi" w:eastAsiaTheme="minorHAnsi" w:hAnsiTheme="minorHAnsi"/>
                <w:color w:val="000000"/>
                <w:sz w:val="18"/>
                <w:szCs w:val="18"/>
              </w:rPr>
              <w:t>, 2008</w:t>
            </w:r>
          </w:p>
        </w:tc>
      </w:tr>
      <w:tr w:rsidR="00B3038E" w:rsidRPr="00F935BF" w:rsidTr="0047170E">
        <w:trPr>
          <w:trHeight w:val="368"/>
        </w:trPr>
        <w:tc>
          <w:tcPr>
            <w:tcW w:w="1137" w:type="pct"/>
          </w:tcPr>
          <w:p w:rsidR="00B3038E" w:rsidRPr="00F935BF" w:rsidRDefault="00277DA2"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Grocery Shopping</w:t>
            </w:r>
          </w:p>
        </w:tc>
        <w:tc>
          <w:tcPr>
            <w:tcW w:w="2980" w:type="pct"/>
          </w:tcPr>
          <w:p w:rsidR="00B3038E" w:rsidRPr="00F935BF" w:rsidRDefault="0047170E" w:rsidP="00C555FB">
            <w:pPr>
              <w:pStyle w:val="ListParagraph"/>
              <w:numPr>
                <w:ilvl w:val="0"/>
                <w:numId w:val="26"/>
              </w:numPr>
              <w:rPr>
                <w:rFonts w:asciiTheme="minorHAnsi" w:eastAsiaTheme="minorHAnsi" w:hAnsiTheme="minorHAnsi"/>
                <w:sz w:val="20"/>
                <w:szCs w:val="20"/>
              </w:rPr>
            </w:pPr>
            <w:r w:rsidRPr="00F935BF">
              <w:rPr>
                <w:rFonts w:asciiTheme="minorHAnsi" w:eastAsiaTheme="minorHAnsi" w:hAnsiTheme="minorHAnsi"/>
                <w:sz w:val="20"/>
                <w:szCs w:val="20"/>
              </w:rPr>
              <w:t>Using community-b</w:t>
            </w:r>
            <w:r w:rsidR="00277DA2" w:rsidRPr="00F935BF">
              <w:rPr>
                <w:rFonts w:asciiTheme="minorHAnsi" w:eastAsiaTheme="minorHAnsi" w:hAnsiTheme="minorHAnsi"/>
                <w:sz w:val="20"/>
                <w:szCs w:val="20"/>
              </w:rPr>
              <w:t xml:space="preserve">ased </w:t>
            </w:r>
            <w:r w:rsidRPr="00F935BF">
              <w:rPr>
                <w:rFonts w:asciiTheme="minorHAnsi" w:eastAsiaTheme="minorHAnsi" w:hAnsiTheme="minorHAnsi"/>
                <w:sz w:val="20"/>
                <w:szCs w:val="20"/>
              </w:rPr>
              <w:t>i</w:t>
            </w:r>
            <w:r w:rsidR="00277DA2" w:rsidRPr="00F935BF">
              <w:rPr>
                <w:rFonts w:asciiTheme="minorHAnsi" w:eastAsiaTheme="minorHAnsi" w:hAnsiTheme="minorHAnsi"/>
                <w:sz w:val="20"/>
                <w:szCs w:val="20"/>
              </w:rPr>
              <w:t>nstruction</w:t>
            </w:r>
          </w:p>
          <w:p w:rsidR="00277DA2" w:rsidRPr="00F935BF" w:rsidRDefault="0047170E" w:rsidP="00C555FB">
            <w:pPr>
              <w:pStyle w:val="ListParagraph"/>
              <w:numPr>
                <w:ilvl w:val="0"/>
                <w:numId w:val="26"/>
              </w:numPr>
              <w:rPr>
                <w:rFonts w:asciiTheme="minorHAnsi" w:eastAsiaTheme="minorHAnsi" w:hAnsiTheme="minorHAnsi"/>
                <w:sz w:val="20"/>
                <w:szCs w:val="20"/>
              </w:rPr>
            </w:pPr>
            <w:r w:rsidRPr="00F935BF">
              <w:rPr>
                <w:rFonts w:asciiTheme="minorHAnsi" w:eastAsiaTheme="minorHAnsi" w:hAnsiTheme="minorHAnsi"/>
                <w:sz w:val="20"/>
                <w:szCs w:val="20"/>
              </w:rPr>
              <w:t>Using c</w:t>
            </w:r>
            <w:r w:rsidR="00277DA2" w:rsidRPr="00F935BF">
              <w:rPr>
                <w:rFonts w:asciiTheme="minorHAnsi" w:eastAsiaTheme="minorHAnsi" w:hAnsiTheme="minorHAnsi"/>
                <w:sz w:val="20"/>
                <w:szCs w:val="20"/>
              </w:rPr>
              <w:t>omputer-assisted Instruction</w:t>
            </w:r>
          </w:p>
          <w:p w:rsidR="00277DA2" w:rsidRPr="00F935BF" w:rsidRDefault="0047170E" w:rsidP="00C555FB">
            <w:pPr>
              <w:pStyle w:val="ListParagraph"/>
              <w:numPr>
                <w:ilvl w:val="0"/>
                <w:numId w:val="26"/>
              </w:numPr>
              <w:rPr>
                <w:rFonts w:asciiTheme="minorHAnsi" w:eastAsiaTheme="minorHAnsi" w:hAnsiTheme="minorHAnsi"/>
                <w:sz w:val="20"/>
                <w:szCs w:val="20"/>
              </w:rPr>
            </w:pPr>
            <w:r w:rsidRPr="00F935BF">
              <w:rPr>
                <w:rFonts w:asciiTheme="minorHAnsi" w:eastAsiaTheme="minorHAnsi" w:hAnsiTheme="minorHAnsi"/>
                <w:sz w:val="20"/>
                <w:szCs w:val="20"/>
              </w:rPr>
              <w:t>Using l</w:t>
            </w:r>
            <w:r w:rsidR="00277DA2" w:rsidRPr="00F935BF">
              <w:rPr>
                <w:rFonts w:asciiTheme="minorHAnsi" w:eastAsiaTheme="minorHAnsi" w:hAnsiTheme="minorHAnsi"/>
                <w:sz w:val="20"/>
                <w:szCs w:val="20"/>
              </w:rPr>
              <w:t>east-to-most prompting</w:t>
            </w:r>
          </w:p>
          <w:p w:rsidR="00277DA2" w:rsidRPr="00F935BF" w:rsidRDefault="00277DA2" w:rsidP="00C555FB">
            <w:pPr>
              <w:pStyle w:val="ListParagraph"/>
              <w:numPr>
                <w:ilvl w:val="0"/>
                <w:numId w:val="26"/>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tc>
        <w:tc>
          <w:tcPr>
            <w:tcW w:w="883" w:type="pct"/>
          </w:tcPr>
          <w:p w:rsidR="00B3038E"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Bates, Cuvo, Miner, &amp; Korabek, 1999;  Ferguson &amp; McDonnell, 1991; </w:t>
            </w:r>
            <w:r w:rsidR="00277DA2" w:rsidRPr="00F935BF">
              <w:rPr>
                <w:rFonts w:asciiTheme="minorHAnsi" w:eastAsiaTheme="minorHAnsi" w:hAnsiTheme="minorHAnsi"/>
                <w:sz w:val="18"/>
                <w:szCs w:val="18"/>
              </w:rPr>
              <w:t xml:space="preserve"> G</w:t>
            </w:r>
            <w:r w:rsidRPr="00F935BF">
              <w:rPr>
                <w:rFonts w:asciiTheme="minorHAnsi" w:eastAsiaTheme="minorHAnsi" w:hAnsiTheme="minorHAnsi"/>
                <w:sz w:val="18"/>
                <w:szCs w:val="18"/>
              </w:rPr>
              <w:t>aule, Nietupski, &amp; Certo, 1985;  Mechling, 2004;</w:t>
            </w:r>
            <w:r w:rsidR="00277DA2" w:rsidRPr="00F935BF">
              <w:rPr>
                <w:rFonts w:asciiTheme="minorHAnsi" w:hAnsiTheme="minorHAnsi"/>
                <w:sz w:val="18"/>
                <w:szCs w:val="18"/>
              </w:rPr>
              <w:t xml:space="preserve"> </w:t>
            </w:r>
            <w:r w:rsidRPr="00F935BF">
              <w:rPr>
                <w:rFonts w:asciiTheme="minorHAnsi" w:eastAsiaTheme="minorHAnsi" w:hAnsiTheme="minorHAnsi"/>
                <w:sz w:val="18"/>
                <w:szCs w:val="18"/>
              </w:rPr>
              <w:t xml:space="preserve">Mechling, Gast, &amp; Krupa, </w:t>
            </w:r>
            <w:r w:rsidR="00277DA2" w:rsidRPr="00F935BF">
              <w:rPr>
                <w:rFonts w:asciiTheme="minorHAnsi" w:eastAsiaTheme="minorHAnsi" w:hAnsiTheme="minorHAnsi"/>
                <w:sz w:val="18"/>
                <w:szCs w:val="18"/>
              </w:rPr>
              <w:t>200</w:t>
            </w:r>
            <w:r w:rsidRPr="00F935BF">
              <w:rPr>
                <w:rFonts w:asciiTheme="minorHAnsi" w:eastAsiaTheme="minorHAnsi" w:hAnsiTheme="minorHAnsi"/>
                <w:sz w:val="18"/>
                <w:szCs w:val="18"/>
              </w:rPr>
              <w:t xml:space="preserve">7; Mechling, Gast, &amp; Langone, 2002; </w:t>
            </w:r>
            <w:r w:rsidR="00277DA2" w:rsidRPr="00F935BF">
              <w:rPr>
                <w:rFonts w:asciiTheme="minorHAnsi" w:eastAsiaTheme="minorHAnsi" w:hAnsiTheme="minorHAnsi"/>
                <w:sz w:val="18"/>
                <w:szCs w:val="18"/>
              </w:rPr>
              <w:t xml:space="preserve"> W</w:t>
            </w:r>
            <w:r w:rsidRPr="00F935BF">
              <w:rPr>
                <w:rFonts w:asciiTheme="minorHAnsi" w:eastAsiaTheme="minorHAnsi" w:hAnsiTheme="minorHAnsi"/>
                <w:sz w:val="18"/>
                <w:szCs w:val="18"/>
              </w:rPr>
              <w:t xml:space="preserve">issick, Lloyd, &amp; Kinzie, 1992; </w:t>
            </w:r>
            <w:r w:rsidR="00277DA2" w:rsidRPr="00F935BF">
              <w:rPr>
                <w:rFonts w:asciiTheme="minorHAnsi" w:eastAsiaTheme="minorHAnsi" w:hAnsiTheme="minorHAnsi"/>
                <w:sz w:val="18"/>
                <w:szCs w:val="18"/>
              </w:rPr>
              <w:t>Arnol</w:t>
            </w:r>
            <w:r w:rsidRPr="00F935BF">
              <w:rPr>
                <w:rFonts w:asciiTheme="minorHAnsi" w:eastAsiaTheme="minorHAnsi" w:hAnsiTheme="minorHAnsi"/>
                <w:sz w:val="18"/>
                <w:szCs w:val="18"/>
              </w:rPr>
              <w:t xml:space="preserve">d-Reid, Schloss, &amp; Alper, 1997;  Bates, Cuvo, Miner, &amp; Korabek, 2001; </w:t>
            </w:r>
            <w:r w:rsidR="00277DA2" w:rsidRPr="00F935BF">
              <w:rPr>
                <w:rFonts w:asciiTheme="minorHAnsi" w:eastAsiaTheme="minorHAnsi" w:hAnsiTheme="minorHAnsi"/>
                <w:sz w:val="18"/>
                <w:szCs w:val="18"/>
              </w:rPr>
              <w:t>G</w:t>
            </w:r>
            <w:r w:rsidRPr="00F935BF">
              <w:rPr>
                <w:rFonts w:asciiTheme="minorHAnsi" w:eastAsiaTheme="minorHAnsi" w:hAnsiTheme="minorHAnsi"/>
                <w:sz w:val="18"/>
                <w:szCs w:val="18"/>
              </w:rPr>
              <w:t>aule, Nietupski, &amp; Certo, 1985;  Mechling &amp; Gast, 1997;  Nietupski, Welch, &amp; Wacker, 1983</w:t>
            </w:r>
            <w:r w:rsidR="00277DA2" w:rsidRPr="00F935BF">
              <w:rPr>
                <w:rFonts w:asciiTheme="minorHAnsi" w:eastAsiaTheme="minorHAnsi" w:hAnsiTheme="minorHAnsi"/>
                <w:sz w:val="18"/>
                <w:szCs w:val="18"/>
              </w:rPr>
              <w:t xml:space="preserve">  </w:t>
            </w:r>
          </w:p>
        </w:tc>
      </w:tr>
      <w:tr w:rsidR="00B3038E" w:rsidRPr="00F935BF" w:rsidTr="0047170E">
        <w:trPr>
          <w:trHeight w:val="368"/>
        </w:trPr>
        <w:tc>
          <w:tcPr>
            <w:tcW w:w="1137" w:type="pct"/>
          </w:tcPr>
          <w:p w:rsidR="00B3038E" w:rsidRPr="00F935BF" w:rsidRDefault="00277DA2"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Home Maintenance Skills</w:t>
            </w:r>
          </w:p>
        </w:tc>
        <w:tc>
          <w:tcPr>
            <w:tcW w:w="2980" w:type="pct"/>
          </w:tcPr>
          <w:p w:rsidR="00B3038E" w:rsidRPr="00F935BF" w:rsidRDefault="00277DA2" w:rsidP="00C555FB">
            <w:pPr>
              <w:pStyle w:val="ListParagraph"/>
              <w:numPr>
                <w:ilvl w:val="0"/>
                <w:numId w:val="27"/>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p w:rsidR="00277DA2" w:rsidRPr="00F935BF" w:rsidRDefault="00277DA2" w:rsidP="00C555FB">
            <w:pPr>
              <w:pStyle w:val="ListParagraph"/>
              <w:numPr>
                <w:ilvl w:val="0"/>
                <w:numId w:val="27"/>
              </w:numPr>
              <w:rPr>
                <w:rFonts w:asciiTheme="minorHAnsi" w:eastAsiaTheme="minorHAnsi" w:hAnsiTheme="minorHAnsi"/>
                <w:sz w:val="20"/>
                <w:szCs w:val="20"/>
              </w:rPr>
            </w:pPr>
            <w:r w:rsidRPr="00F935BF">
              <w:rPr>
                <w:rFonts w:asciiTheme="minorHAnsi" w:eastAsiaTheme="minorHAnsi" w:hAnsiTheme="minorHAnsi"/>
                <w:sz w:val="20"/>
                <w:szCs w:val="20"/>
              </w:rPr>
              <w:t>Using video modeling</w:t>
            </w:r>
          </w:p>
          <w:p w:rsidR="00277DA2" w:rsidRPr="00F935BF" w:rsidRDefault="00277DA2" w:rsidP="00277DA2">
            <w:pPr>
              <w:ind w:left="0" w:firstLine="0"/>
              <w:rPr>
                <w:rFonts w:asciiTheme="minorHAnsi" w:eastAsiaTheme="minorHAnsi" w:hAnsiTheme="minorHAnsi"/>
                <w:sz w:val="20"/>
                <w:szCs w:val="20"/>
              </w:rPr>
            </w:pPr>
          </w:p>
        </w:tc>
        <w:tc>
          <w:tcPr>
            <w:tcW w:w="883" w:type="pct"/>
          </w:tcPr>
          <w:p w:rsidR="00B3038E"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Mechling &amp; Stephens, 2009;  Mechling &amp; Gustafson, 2009; Mechling, Gast, &amp; Gustafson, 2009;  Lasater &amp; Brady</w:t>
            </w:r>
            <w:r w:rsidR="00277DA2" w:rsidRPr="00F935BF">
              <w:rPr>
                <w:rFonts w:asciiTheme="minorHAnsi" w:eastAsiaTheme="minorHAnsi" w:hAnsiTheme="minorHAnsi"/>
                <w:sz w:val="18"/>
                <w:szCs w:val="18"/>
              </w:rPr>
              <w:t>,</w:t>
            </w:r>
            <w:r w:rsidRPr="00F935BF">
              <w:rPr>
                <w:rFonts w:asciiTheme="minorHAnsi" w:eastAsiaTheme="minorHAnsi" w:hAnsiTheme="minorHAnsi"/>
                <w:sz w:val="18"/>
                <w:szCs w:val="18"/>
              </w:rPr>
              <w:t xml:space="preserve">1995; </w:t>
            </w:r>
            <w:r w:rsidR="00277DA2" w:rsidRPr="00F935BF">
              <w:rPr>
                <w:rFonts w:asciiTheme="minorHAnsi" w:eastAsiaTheme="minorHAnsi" w:hAnsiTheme="minorHAnsi"/>
                <w:sz w:val="18"/>
                <w:szCs w:val="18"/>
              </w:rPr>
              <w:t xml:space="preserve"> Van Laarhov</w:t>
            </w:r>
            <w:r w:rsidRPr="00F935BF">
              <w:rPr>
                <w:rFonts w:asciiTheme="minorHAnsi" w:eastAsiaTheme="minorHAnsi" w:hAnsiTheme="minorHAnsi"/>
                <w:sz w:val="18"/>
                <w:szCs w:val="18"/>
              </w:rPr>
              <w:t xml:space="preserve">en &amp; Van Laarhoven-Myers, 2006;  Mechling &amp; Gast, 1997; </w:t>
            </w:r>
            <w:r w:rsidR="00277DA2" w:rsidRPr="00F935BF">
              <w:rPr>
                <w:rFonts w:asciiTheme="minorHAnsi" w:eastAsiaTheme="minorHAnsi" w:hAnsiTheme="minorHAnsi"/>
                <w:sz w:val="18"/>
                <w:szCs w:val="18"/>
              </w:rPr>
              <w:t xml:space="preserve"> Cuvo, David, </w:t>
            </w:r>
            <w:r w:rsidRPr="00F935BF">
              <w:rPr>
                <w:rFonts w:asciiTheme="minorHAnsi" w:eastAsiaTheme="minorHAnsi" w:hAnsiTheme="minorHAnsi"/>
                <w:sz w:val="18"/>
                <w:szCs w:val="18"/>
              </w:rPr>
              <w:t xml:space="preserve">O’Reilly, Mooney, &amp; Crowley, 1992; </w:t>
            </w:r>
            <w:r w:rsidR="00277DA2" w:rsidRPr="00F935BF">
              <w:rPr>
                <w:rFonts w:asciiTheme="minorHAnsi" w:eastAsiaTheme="minorHAnsi" w:hAnsiTheme="minorHAnsi"/>
                <w:sz w:val="18"/>
                <w:szCs w:val="18"/>
              </w:rPr>
              <w:t xml:space="preserve"> Briggs, Alberto, </w:t>
            </w:r>
            <w:r w:rsidR="00277DA2" w:rsidRPr="00F935BF">
              <w:rPr>
                <w:rFonts w:asciiTheme="minorHAnsi" w:eastAsiaTheme="minorHAnsi" w:hAnsiTheme="minorHAnsi"/>
                <w:sz w:val="18"/>
                <w:szCs w:val="18"/>
              </w:rPr>
              <w:lastRenderedPageBreak/>
              <w:t>Sharp</w:t>
            </w:r>
            <w:r w:rsidRPr="00F935BF">
              <w:rPr>
                <w:rFonts w:asciiTheme="minorHAnsi" w:eastAsiaTheme="minorHAnsi" w:hAnsiTheme="minorHAnsi"/>
                <w:sz w:val="18"/>
                <w:szCs w:val="18"/>
              </w:rPr>
              <w:t xml:space="preserve">ton, Berlin, McKinley, &amp; Ritts, </w:t>
            </w:r>
            <w:r w:rsidR="00277DA2" w:rsidRPr="00F935BF">
              <w:rPr>
                <w:rFonts w:asciiTheme="minorHAnsi" w:eastAsiaTheme="minorHAnsi" w:hAnsiTheme="minorHAnsi"/>
                <w:sz w:val="18"/>
                <w:szCs w:val="18"/>
              </w:rPr>
              <w:t>1990</w:t>
            </w:r>
          </w:p>
        </w:tc>
      </w:tr>
      <w:tr w:rsidR="00B3038E" w:rsidRPr="00F935BF" w:rsidTr="0047170E">
        <w:trPr>
          <w:trHeight w:val="368"/>
        </w:trPr>
        <w:tc>
          <w:tcPr>
            <w:tcW w:w="1137" w:type="pct"/>
          </w:tcPr>
          <w:p w:rsidR="00B3038E" w:rsidRPr="00F935BF" w:rsidRDefault="00277DA2"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Increased financial skills</w:t>
            </w:r>
          </w:p>
        </w:tc>
        <w:tc>
          <w:tcPr>
            <w:tcW w:w="2980" w:type="pct"/>
          </w:tcPr>
          <w:p w:rsidR="00B3038E" w:rsidRPr="00F935BF" w:rsidRDefault="00277DA2" w:rsidP="00C555FB">
            <w:pPr>
              <w:pStyle w:val="ListParagraph"/>
              <w:numPr>
                <w:ilvl w:val="0"/>
                <w:numId w:val="28"/>
              </w:numPr>
              <w:rPr>
                <w:rFonts w:asciiTheme="minorHAnsi" w:eastAsiaTheme="minorHAnsi" w:hAnsiTheme="minorHAnsi"/>
                <w:sz w:val="20"/>
                <w:szCs w:val="20"/>
              </w:rPr>
            </w:pPr>
            <w:r w:rsidRPr="00F935BF">
              <w:rPr>
                <w:rFonts w:asciiTheme="minorHAnsi" w:eastAsiaTheme="minorHAnsi" w:hAnsiTheme="minorHAnsi"/>
                <w:sz w:val="20"/>
                <w:szCs w:val="20"/>
              </w:rPr>
              <w:t>Using extended career planning services after graduation</w:t>
            </w:r>
          </w:p>
        </w:tc>
        <w:tc>
          <w:tcPr>
            <w:tcW w:w="883" w:type="pct"/>
          </w:tcPr>
          <w:p w:rsidR="00B3038E" w:rsidRPr="00F935BF" w:rsidRDefault="00277DA2"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Izzo, Cartledge</w:t>
            </w:r>
            <w:r w:rsidR="007927EE" w:rsidRPr="00F935BF">
              <w:rPr>
                <w:rFonts w:asciiTheme="minorHAnsi" w:eastAsiaTheme="minorHAnsi" w:hAnsiTheme="minorHAnsi"/>
                <w:sz w:val="18"/>
                <w:szCs w:val="18"/>
              </w:rPr>
              <w:t xml:space="preserve">, Miller, Growick, &amp; Rutkowski, </w:t>
            </w:r>
            <w:r w:rsidRPr="00F935BF">
              <w:rPr>
                <w:rFonts w:asciiTheme="minorHAnsi" w:eastAsiaTheme="minorHAnsi" w:hAnsiTheme="minorHAnsi"/>
                <w:sz w:val="18"/>
                <w:szCs w:val="18"/>
              </w:rPr>
              <w:t>2000</w:t>
            </w:r>
          </w:p>
        </w:tc>
      </w:tr>
      <w:tr w:rsidR="00B3038E" w:rsidRPr="00F935BF" w:rsidTr="0047170E">
        <w:trPr>
          <w:trHeight w:val="368"/>
        </w:trPr>
        <w:tc>
          <w:tcPr>
            <w:tcW w:w="1137" w:type="pct"/>
          </w:tcPr>
          <w:p w:rsidR="00B3038E" w:rsidRPr="00F935BF" w:rsidRDefault="00277DA2"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Integration Skills</w:t>
            </w:r>
          </w:p>
        </w:tc>
        <w:tc>
          <w:tcPr>
            <w:tcW w:w="2980" w:type="pct"/>
          </w:tcPr>
          <w:p w:rsidR="00277DA2" w:rsidRPr="00F935BF" w:rsidRDefault="0047170E" w:rsidP="00C555FB">
            <w:pPr>
              <w:pStyle w:val="ListParagraph"/>
              <w:numPr>
                <w:ilvl w:val="0"/>
                <w:numId w:val="28"/>
              </w:numPr>
              <w:rPr>
                <w:rFonts w:asciiTheme="minorHAnsi" w:eastAsiaTheme="minorHAnsi" w:hAnsiTheme="minorHAnsi"/>
                <w:sz w:val="20"/>
                <w:szCs w:val="20"/>
              </w:rPr>
            </w:pPr>
            <w:r w:rsidRPr="00F935BF">
              <w:rPr>
                <w:rFonts w:asciiTheme="minorHAnsi" w:eastAsiaTheme="minorHAnsi" w:hAnsiTheme="minorHAnsi"/>
                <w:sz w:val="20"/>
                <w:szCs w:val="20"/>
              </w:rPr>
              <w:t>Using community-b</w:t>
            </w:r>
            <w:r w:rsidR="00277DA2" w:rsidRPr="00F935BF">
              <w:rPr>
                <w:rFonts w:asciiTheme="minorHAnsi" w:eastAsiaTheme="minorHAnsi" w:hAnsiTheme="minorHAnsi"/>
                <w:sz w:val="20"/>
                <w:szCs w:val="20"/>
              </w:rPr>
              <w:t>ased instruction</w:t>
            </w:r>
          </w:p>
        </w:tc>
        <w:tc>
          <w:tcPr>
            <w:tcW w:w="883" w:type="pct"/>
          </w:tcPr>
          <w:p w:rsidR="00B3038E"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Collins, Stinson, &amp; Land, 1993; </w:t>
            </w:r>
            <w:r w:rsidR="00277DA2" w:rsidRPr="00F935BF">
              <w:rPr>
                <w:rFonts w:asciiTheme="minorHAnsi" w:eastAsiaTheme="minorHAnsi" w:hAnsiTheme="minorHAnsi"/>
                <w:sz w:val="18"/>
                <w:szCs w:val="18"/>
              </w:rPr>
              <w:t xml:space="preserve"> Branham, Collins, Schuster, &amp; Kleinert</w:t>
            </w:r>
            <w:r w:rsidRPr="00F935BF">
              <w:rPr>
                <w:rFonts w:asciiTheme="minorHAnsi" w:eastAsiaTheme="minorHAnsi" w:hAnsiTheme="minorHAnsi"/>
                <w:sz w:val="18"/>
                <w:szCs w:val="18"/>
              </w:rPr>
              <w:t xml:space="preserve">, 1999; Bates, Cuvo, Miner, &amp; Korabek, </w:t>
            </w:r>
            <w:r w:rsidR="00277DA2" w:rsidRPr="00F935BF">
              <w:rPr>
                <w:rFonts w:asciiTheme="minorHAnsi" w:eastAsiaTheme="minorHAnsi" w:hAnsiTheme="minorHAnsi"/>
                <w:sz w:val="18"/>
                <w:szCs w:val="18"/>
              </w:rPr>
              <w:t>1999</w:t>
            </w:r>
          </w:p>
        </w:tc>
      </w:tr>
      <w:tr w:rsidR="00B3038E" w:rsidRPr="00F935BF" w:rsidTr="0047170E">
        <w:trPr>
          <w:trHeight w:val="368"/>
        </w:trPr>
        <w:tc>
          <w:tcPr>
            <w:tcW w:w="1137" w:type="pct"/>
          </w:tcPr>
          <w:p w:rsidR="00B3038E" w:rsidRPr="00F935BF" w:rsidRDefault="00277DA2"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Job Application Skills</w:t>
            </w:r>
          </w:p>
        </w:tc>
        <w:tc>
          <w:tcPr>
            <w:tcW w:w="2980" w:type="pct"/>
          </w:tcPr>
          <w:p w:rsidR="00B3038E" w:rsidRPr="00F935BF" w:rsidRDefault="00277DA2" w:rsidP="00C555FB">
            <w:pPr>
              <w:pStyle w:val="ListParagraph"/>
              <w:numPr>
                <w:ilvl w:val="0"/>
                <w:numId w:val="2"/>
              </w:numPr>
              <w:rPr>
                <w:rFonts w:asciiTheme="minorHAnsi" w:eastAsiaTheme="minorHAnsi" w:hAnsiTheme="minorHAnsi"/>
                <w:sz w:val="20"/>
                <w:szCs w:val="20"/>
              </w:rPr>
            </w:pPr>
            <w:r w:rsidRPr="00F935BF">
              <w:rPr>
                <w:rFonts w:asciiTheme="minorHAnsi" w:eastAsiaTheme="minorHAnsi" w:hAnsiTheme="minorHAnsi"/>
                <w:sz w:val="20"/>
                <w:szCs w:val="20"/>
              </w:rPr>
              <w:t>Using mnemonic strategies</w:t>
            </w:r>
          </w:p>
        </w:tc>
        <w:tc>
          <w:tcPr>
            <w:tcW w:w="883" w:type="pct"/>
          </w:tcPr>
          <w:p w:rsidR="00B3038E" w:rsidRPr="00F935BF" w:rsidRDefault="007927E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Nelson, Smith, &amp; Dodd, </w:t>
            </w:r>
            <w:r w:rsidR="005349BA" w:rsidRPr="00F935BF">
              <w:rPr>
                <w:rFonts w:asciiTheme="minorHAnsi" w:eastAsiaTheme="minorHAnsi" w:hAnsiTheme="minorHAnsi"/>
                <w:sz w:val="18"/>
                <w:szCs w:val="18"/>
              </w:rPr>
              <w:t>1994</w:t>
            </w:r>
          </w:p>
        </w:tc>
      </w:tr>
      <w:tr w:rsidR="00B3038E" w:rsidRPr="00F935BF" w:rsidTr="0047170E">
        <w:trPr>
          <w:trHeight w:val="368"/>
        </w:trPr>
        <w:tc>
          <w:tcPr>
            <w:tcW w:w="1137" w:type="pct"/>
          </w:tcPr>
          <w:p w:rsidR="00B3038E" w:rsidRPr="00F935BF" w:rsidRDefault="005349BA"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Job Specific Skills</w:t>
            </w:r>
          </w:p>
        </w:tc>
        <w:tc>
          <w:tcPr>
            <w:tcW w:w="2980" w:type="pct"/>
          </w:tcPr>
          <w:p w:rsidR="00B3038E" w:rsidRPr="00F935BF" w:rsidRDefault="005349BA" w:rsidP="00C555FB">
            <w:pPr>
              <w:pStyle w:val="ListParagraph"/>
              <w:numPr>
                <w:ilvl w:val="0"/>
                <w:numId w:val="28"/>
              </w:numPr>
              <w:rPr>
                <w:rFonts w:asciiTheme="minorHAnsi" w:eastAsiaTheme="minorHAnsi" w:hAnsiTheme="minorHAnsi"/>
                <w:sz w:val="20"/>
                <w:szCs w:val="20"/>
              </w:rPr>
            </w:pPr>
            <w:r w:rsidRPr="00F935BF">
              <w:rPr>
                <w:rFonts w:asciiTheme="minorHAnsi" w:eastAsiaTheme="minorHAnsi" w:hAnsiTheme="minorHAnsi"/>
                <w:sz w:val="20"/>
                <w:szCs w:val="20"/>
              </w:rPr>
              <w:t>Using computer-assisted instruction</w:t>
            </w:r>
          </w:p>
          <w:p w:rsidR="005349BA" w:rsidRPr="00F935BF" w:rsidRDefault="005349BA" w:rsidP="00C555FB">
            <w:pPr>
              <w:pStyle w:val="ListParagraph"/>
              <w:numPr>
                <w:ilvl w:val="0"/>
                <w:numId w:val="28"/>
              </w:numPr>
              <w:rPr>
                <w:rFonts w:asciiTheme="minorHAnsi" w:eastAsiaTheme="minorHAnsi" w:hAnsiTheme="minorHAnsi"/>
                <w:sz w:val="20"/>
                <w:szCs w:val="20"/>
              </w:rPr>
            </w:pPr>
            <w:r w:rsidRPr="00F935BF">
              <w:rPr>
                <w:rFonts w:asciiTheme="minorHAnsi" w:eastAsiaTheme="minorHAnsi" w:hAnsiTheme="minorHAnsi"/>
                <w:sz w:val="20"/>
                <w:szCs w:val="20"/>
              </w:rPr>
              <w:t>Using constant time delay</w:t>
            </w:r>
          </w:p>
          <w:p w:rsidR="005349BA" w:rsidRPr="00F935BF" w:rsidRDefault="005349BA" w:rsidP="00C555FB">
            <w:pPr>
              <w:pStyle w:val="ListParagraph"/>
              <w:numPr>
                <w:ilvl w:val="0"/>
                <w:numId w:val="28"/>
              </w:numPr>
              <w:rPr>
                <w:rFonts w:asciiTheme="minorHAnsi" w:eastAsiaTheme="minorHAnsi" w:hAnsiTheme="minorHAnsi"/>
                <w:sz w:val="20"/>
                <w:szCs w:val="20"/>
              </w:rPr>
            </w:pPr>
            <w:r w:rsidRPr="00F935BF">
              <w:rPr>
                <w:rFonts w:asciiTheme="minorHAnsi" w:eastAsiaTheme="minorHAnsi" w:hAnsiTheme="minorHAnsi"/>
                <w:sz w:val="20"/>
                <w:szCs w:val="20"/>
              </w:rPr>
              <w:t xml:space="preserve">Using self-management </w:t>
            </w:r>
          </w:p>
        </w:tc>
        <w:tc>
          <w:tcPr>
            <w:tcW w:w="883" w:type="pct"/>
          </w:tcPr>
          <w:p w:rsidR="00B3038E" w:rsidRPr="00F935BF" w:rsidRDefault="007927EE" w:rsidP="007927E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Salend, Ellis, &amp; Reynolds, 1989;  Moore, Agran, &amp; Fodor-Davis, 1989; </w:t>
            </w:r>
            <w:r w:rsidR="005349BA" w:rsidRPr="00F935BF">
              <w:rPr>
                <w:rFonts w:asciiTheme="minorHAnsi" w:eastAsiaTheme="minorHAnsi" w:hAnsiTheme="minorHAnsi"/>
                <w:sz w:val="18"/>
                <w:szCs w:val="18"/>
              </w:rPr>
              <w:t xml:space="preserve"> Irvine, Erick</w:t>
            </w:r>
            <w:r w:rsidRPr="00F935BF">
              <w:rPr>
                <w:rFonts w:asciiTheme="minorHAnsi" w:eastAsiaTheme="minorHAnsi" w:hAnsiTheme="minorHAnsi"/>
                <w:sz w:val="18"/>
                <w:szCs w:val="18"/>
              </w:rPr>
              <w:t xml:space="preserve">son, Singer, &amp; Stahlberg 1992;  Berg &amp; Wacker 1989; </w:t>
            </w:r>
            <w:r w:rsidR="005349BA" w:rsidRPr="00F935BF">
              <w:rPr>
                <w:rFonts w:asciiTheme="minorHAnsi" w:eastAsiaTheme="minorHAnsi" w:hAnsiTheme="minorHAnsi"/>
                <w:sz w:val="18"/>
                <w:szCs w:val="18"/>
              </w:rPr>
              <w:t xml:space="preserve"> Wolery</w:t>
            </w:r>
            <w:r w:rsidRPr="00F935BF">
              <w:rPr>
                <w:rFonts w:asciiTheme="minorHAnsi" w:eastAsiaTheme="minorHAnsi" w:hAnsiTheme="minorHAnsi"/>
                <w:sz w:val="18"/>
                <w:szCs w:val="18"/>
              </w:rPr>
              <w:t xml:space="preserve">, Ault, Gast, Doyle, &amp; Griffen, </w:t>
            </w:r>
            <w:r w:rsidR="005349BA" w:rsidRPr="00F935BF">
              <w:rPr>
                <w:rFonts w:asciiTheme="minorHAnsi" w:eastAsiaTheme="minorHAnsi" w:hAnsiTheme="minorHAnsi"/>
                <w:sz w:val="18"/>
                <w:szCs w:val="18"/>
              </w:rPr>
              <w:t>199</w:t>
            </w:r>
            <w:r w:rsidRPr="00F935BF">
              <w:rPr>
                <w:rFonts w:asciiTheme="minorHAnsi" w:eastAsiaTheme="minorHAnsi" w:hAnsiTheme="minorHAnsi"/>
                <w:sz w:val="18"/>
                <w:szCs w:val="18"/>
              </w:rPr>
              <w:t xml:space="preserve">1;  Mechling &amp; Ortega-Hurndon, 2007; </w:t>
            </w:r>
            <w:r w:rsidR="005349BA" w:rsidRPr="00F935BF">
              <w:rPr>
                <w:rFonts w:asciiTheme="minorHAnsi" w:eastAsiaTheme="minorHAnsi" w:hAnsiTheme="minorHAnsi"/>
                <w:sz w:val="18"/>
                <w:szCs w:val="18"/>
              </w:rPr>
              <w:t>Riffel, Wehmeyer, Turnbull, Latt</w:t>
            </w:r>
            <w:r w:rsidRPr="00F935BF">
              <w:rPr>
                <w:rFonts w:asciiTheme="minorHAnsi" w:eastAsiaTheme="minorHAnsi" w:hAnsiTheme="minorHAnsi"/>
                <w:sz w:val="18"/>
                <w:szCs w:val="18"/>
              </w:rPr>
              <w:t xml:space="preserve">imore, Davies, Stock, &amp; Fisher, 2005; Mechling &amp; Ortega-Hurndon , </w:t>
            </w:r>
            <w:r w:rsidR="005349BA" w:rsidRPr="00F935BF">
              <w:rPr>
                <w:rFonts w:asciiTheme="minorHAnsi" w:eastAsiaTheme="minorHAnsi" w:hAnsiTheme="minorHAnsi"/>
                <w:sz w:val="18"/>
                <w:szCs w:val="18"/>
              </w:rPr>
              <w:t>2007</w:t>
            </w:r>
          </w:p>
        </w:tc>
      </w:tr>
      <w:tr w:rsidR="00B3038E" w:rsidRPr="00F935BF" w:rsidTr="0047170E">
        <w:trPr>
          <w:trHeight w:val="368"/>
        </w:trPr>
        <w:tc>
          <w:tcPr>
            <w:tcW w:w="1137" w:type="pct"/>
          </w:tcPr>
          <w:p w:rsidR="00B3038E" w:rsidRPr="00F935BF" w:rsidRDefault="00F95340"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Laundry Tasks</w:t>
            </w:r>
          </w:p>
        </w:tc>
        <w:tc>
          <w:tcPr>
            <w:tcW w:w="2980" w:type="pct"/>
          </w:tcPr>
          <w:p w:rsidR="00B3038E" w:rsidRPr="00F935BF" w:rsidRDefault="00F95340" w:rsidP="00C555FB">
            <w:pPr>
              <w:pStyle w:val="ListParagraph"/>
              <w:numPr>
                <w:ilvl w:val="0"/>
                <w:numId w:val="29"/>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tc>
        <w:tc>
          <w:tcPr>
            <w:tcW w:w="883" w:type="pct"/>
          </w:tcPr>
          <w:p w:rsidR="00B3038E" w:rsidRPr="00F935BF" w:rsidRDefault="00F95340"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Van L</w:t>
            </w:r>
            <w:r w:rsidR="007927EE" w:rsidRPr="00F935BF">
              <w:rPr>
                <w:rFonts w:asciiTheme="minorHAnsi" w:eastAsiaTheme="minorHAnsi" w:hAnsiTheme="minorHAnsi"/>
                <w:sz w:val="18"/>
                <w:szCs w:val="18"/>
              </w:rPr>
              <w:t xml:space="preserve">aarhoven &amp; Van Laarhoven-Myers, 2006; </w:t>
            </w:r>
            <w:r w:rsidRPr="00F935BF">
              <w:rPr>
                <w:rFonts w:asciiTheme="minorHAnsi" w:eastAsiaTheme="minorHAnsi" w:hAnsiTheme="minorHAnsi"/>
                <w:sz w:val="18"/>
                <w:szCs w:val="18"/>
              </w:rPr>
              <w:t xml:space="preserve"> Taylor, Collins, Schuster, &amp; K</w:t>
            </w:r>
            <w:r w:rsidR="007927EE" w:rsidRPr="00F935BF">
              <w:rPr>
                <w:rFonts w:asciiTheme="minorHAnsi" w:eastAsiaTheme="minorHAnsi" w:hAnsiTheme="minorHAnsi"/>
                <w:sz w:val="18"/>
                <w:szCs w:val="18"/>
              </w:rPr>
              <w:t xml:space="preserve">leinert 2002; Lasater &amp; Brady, 1995; </w:t>
            </w:r>
            <w:r w:rsidRPr="00F935BF">
              <w:rPr>
                <w:rFonts w:asciiTheme="minorHAnsi" w:eastAsiaTheme="minorHAnsi" w:hAnsiTheme="minorHAnsi"/>
                <w:sz w:val="18"/>
                <w:szCs w:val="18"/>
              </w:rPr>
              <w:t xml:space="preserve"> Briggs, Alberto, Sharp</w:t>
            </w:r>
            <w:r w:rsidR="007927EE" w:rsidRPr="00F935BF">
              <w:rPr>
                <w:rFonts w:asciiTheme="minorHAnsi" w:eastAsiaTheme="minorHAnsi" w:hAnsiTheme="minorHAnsi"/>
                <w:sz w:val="18"/>
                <w:szCs w:val="18"/>
              </w:rPr>
              <w:t xml:space="preserve">ton, Berlin, McKinley, &amp; Ritts, </w:t>
            </w:r>
            <w:r w:rsidRPr="00F935BF">
              <w:rPr>
                <w:rFonts w:asciiTheme="minorHAnsi" w:eastAsiaTheme="minorHAnsi" w:hAnsiTheme="minorHAnsi"/>
                <w:sz w:val="18"/>
                <w:szCs w:val="18"/>
              </w:rPr>
              <w:t>1990</w:t>
            </w:r>
          </w:p>
        </w:tc>
      </w:tr>
      <w:tr w:rsidR="00B3038E" w:rsidRPr="00F935BF" w:rsidTr="0047170E">
        <w:trPr>
          <w:trHeight w:val="368"/>
        </w:trPr>
        <w:tc>
          <w:tcPr>
            <w:tcW w:w="1137" w:type="pct"/>
          </w:tcPr>
          <w:p w:rsidR="00B3038E" w:rsidRPr="00F935BF" w:rsidRDefault="00F95340" w:rsidP="0047170E">
            <w:pPr>
              <w:ind w:left="0" w:firstLine="0"/>
              <w:rPr>
                <w:rFonts w:asciiTheme="minorHAnsi" w:eastAsiaTheme="minorHAnsi" w:hAnsiTheme="minorHAnsi"/>
                <w:bCs/>
                <w:sz w:val="20"/>
                <w:szCs w:val="20"/>
              </w:rPr>
            </w:pPr>
            <w:r w:rsidRPr="00F935BF">
              <w:rPr>
                <w:rFonts w:asciiTheme="minorHAnsi" w:eastAsiaTheme="minorHAnsi" w:hAnsiTheme="minorHAnsi"/>
                <w:bCs/>
                <w:sz w:val="20"/>
                <w:szCs w:val="20"/>
              </w:rPr>
              <w:t>Leisure Skills</w:t>
            </w:r>
          </w:p>
        </w:tc>
        <w:tc>
          <w:tcPr>
            <w:tcW w:w="2980" w:type="pct"/>
          </w:tcPr>
          <w:p w:rsidR="00B3038E" w:rsidRPr="00F935BF" w:rsidRDefault="00F95340" w:rsidP="00C555FB">
            <w:pPr>
              <w:pStyle w:val="ListParagraph"/>
              <w:numPr>
                <w:ilvl w:val="0"/>
                <w:numId w:val="29"/>
              </w:numPr>
              <w:spacing w:line="276" w:lineRule="auto"/>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constant time delay</w:t>
            </w:r>
          </w:p>
          <w:p w:rsidR="00F95340" w:rsidRPr="00F935BF" w:rsidRDefault="00F95340" w:rsidP="00C555FB">
            <w:pPr>
              <w:pStyle w:val="ListParagraph"/>
              <w:numPr>
                <w:ilvl w:val="0"/>
                <w:numId w:val="29"/>
              </w:numPr>
              <w:spacing w:line="276" w:lineRule="auto"/>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response prompting</w:t>
            </w:r>
          </w:p>
        </w:tc>
        <w:tc>
          <w:tcPr>
            <w:tcW w:w="883" w:type="pct"/>
          </w:tcPr>
          <w:p w:rsidR="00B3038E" w:rsidRPr="00F935BF" w:rsidRDefault="00F935BF" w:rsidP="00471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18"/>
                <w:szCs w:val="18"/>
              </w:rPr>
            </w:pPr>
            <w:r w:rsidRPr="00F935BF">
              <w:rPr>
                <w:rFonts w:asciiTheme="minorHAnsi" w:eastAsiaTheme="minorHAnsi" w:hAnsiTheme="minorHAnsi"/>
                <w:color w:val="000000"/>
                <w:sz w:val="18"/>
                <w:szCs w:val="18"/>
              </w:rPr>
              <w:t xml:space="preserve">Whatley, Gast, &amp; Hammond, 2009;  Nietupski, et al. 1986; </w:t>
            </w:r>
            <w:r w:rsidR="00F95340" w:rsidRPr="00F935BF">
              <w:rPr>
                <w:rFonts w:asciiTheme="minorHAnsi" w:eastAsiaTheme="minorHAnsi" w:hAnsiTheme="minorHAnsi"/>
                <w:color w:val="000000"/>
                <w:sz w:val="18"/>
                <w:szCs w:val="18"/>
              </w:rPr>
              <w:t xml:space="preserve"> Zhang, Gast, Horvat, &amp; Dattilo</w:t>
            </w:r>
            <w:r w:rsidRPr="00F935BF">
              <w:rPr>
                <w:rFonts w:asciiTheme="minorHAnsi" w:eastAsiaTheme="minorHAnsi" w:hAnsiTheme="minorHAnsi"/>
                <w:color w:val="000000"/>
                <w:sz w:val="18"/>
                <w:szCs w:val="18"/>
              </w:rPr>
              <w:t xml:space="preserve">, 1995; Wall, Gast, &amp; Royston, </w:t>
            </w:r>
            <w:r w:rsidR="00F95340" w:rsidRPr="00F935BF">
              <w:rPr>
                <w:rFonts w:asciiTheme="minorHAnsi" w:eastAsiaTheme="minorHAnsi" w:hAnsiTheme="minorHAnsi"/>
                <w:color w:val="000000"/>
                <w:sz w:val="18"/>
                <w:szCs w:val="18"/>
              </w:rPr>
              <w:t>1999</w:t>
            </w:r>
          </w:p>
        </w:tc>
      </w:tr>
      <w:tr w:rsidR="00B3038E" w:rsidRPr="00F935BF" w:rsidTr="0047170E">
        <w:trPr>
          <w:trHeight w:val="368"/>
        </w:trPr>
        <w:tc>
          <w:tcPr>
            <w:tcW w:w="1137" w:type="pct"/>
          </w:tcPr>
          <w:p w:rsidR="00B3038E" w:rsidRPr="00F935BF" w:rsidRDefault="00D840EC"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Purchasing Skills</w:t>
            </w:r>
          </w:p>
        </w:tc>
        <w:tc>
          <w:tcPr>
            <w:tcW w:w="2980" w:type="pct"/>
          </w:tcPr>
          <w:p w:rsidR="00B3038E" w:rsidRPr="00F935BF" w:rsidRDefault="0047170E"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t>Using community-b</w:t>
            </w:r>
            <w:r w:rsidR="00D840EC" w:rsidRPr="00F935BF">
              <w:rPr>
                <w:rFonts w:asciiTheme="minorHAnsi" w:eastAsiaTheme="minorHAnsi" w:hAnsiTheme="minorHAnsi"/>
                <w:sz w:val="20"/>
                <w:szCs w:val="20"/>
              </w:rPr>
              <w:t>ased instruction</w:t>
            </w:r>
          </w:p>
          <w:p w:rsidR="00D840EC" w:rsidRPr="00F935BF" w:rsidRDefault="00D840EC"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t>Using least-to-most prompting</w:t>
            </w:r>
          </w:p>
          <w:p w:rsidR="00D840EC" w:rsidRPr="00F935BF" w:rsidRDefault="00D840EC"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t>Using one-more-than strategy</w:t>
            </w:r>
          </w:p>
          <w:p w:rsidR="00D840EC" w:rsidRPr="00F935BF" w:rsidRDefault="00D840EC"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t>Using progressive time delay</w:t>
            </w:r>
          </w:p>
          <w:p w:rsidR="00D840EC" w:rsidRPr="00F935BF" w:rsidRDefault="00D840EC"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t>Using response prompting</w:t>
            </w:r>
          </w:p>
          <w:p w:rsidR="00D840EC" w:rsidRPr="00F935BF" w:rsidRDefault="00D840EC" w:rsidP="00C555FB">
            <w:pPr>
              <w:pStyle w:val="ListParagraph"/>
              <w:numPr>
                <w:ilvl w:val="0"/>
                <w:numId w:val="30"/>
              </w:numPr>
              <w:rPr>
                <w:rFonts w:asciiTheme="minorHAnsi" w:eastAsiaTheme="minorHAnsi" w:hAnsiTheme="minorHAnsi"/>
                <w:sz w:val="20"/>
                <w:szCs w:val="20"/>
              </w:rPr>
            </w:pPr>
            <w:r w:rsidRPr="00F935BF">
              <w:rPr>
                <w:rFonts w:asciiTheme="minorHAnsi" w:eastAsiaTheme="minorHAnsi" w:hAnsiTheme="minorHAnsi"/>
                <w:sz w:val="20"/>
                <w:szCs w:val="20"/>
              </w:rPr>
              <w:lastRenderedPageBreak/>
              <w:t>Using simulations</w:t>
            </w:r>
          </w:p>
        </w:tc>
        <w:tc>
          <w:tcPr>
            <w:tcW w:w="883" w:type="pct"/>
          </w:tcPr>
          <w:p w:rsidR="00B3038E" w:rsidRPr="00F935BF" w:rsidRDefault="00F935BF" w:rsidP="00D840EC">
            <w:pPr>
              <w:ind w:left="0" w:firstLine="0"/>
              <w:rPr>
                <w:rFonts w:asciiTheme="minorHAnsi" w:eastAsiaTheme="minorHAnsi" w:hAnsiTheme="minorHAnsi"/>
                <w:sz w:val="18"/>
                <w:szCs w:val="18"/>
              </w:rPr>
            </w:pPr>
            <w:r w:rsidRPr="00F935BF">
              <w:rPr>
                <w:rFonts w:asciiTheme="minorHAnsi" w:eastAsiaTheme="minorHAnsi" w:hAnsiTheme="minorHAnsi"/>
                <w:sz w:val="18"/>
                <w:szCs w:val="18"/>
              </w:rPr>
              <w:lastRenderedPageBreak/>
              <w:t xml:space="preserve">Wissick, Lloyd, &amp; Kinzie, 1992; </w:t>
            </w:r>
            <w:r w:rsidR="00D840EC" w:rsidRPr="00F935BF">
              <w:rPr>
                <w:rFonts w:asciiTheme="minorHAnsi" w:eastAsiaTheme="minorHAnsi" w:hAnsiTheme="minorHAnsi"/>
                <w:sz w:val="18"/>
                <w:szCs w:val="18"/>
              </w:rPr>
              <w:t xml:space="preserve"> M</w:t>
            </w:r>
            <w:r w:rsidRPr="00F935BF">
              <w:rPr>
                <w:rFonts w:asciiTheme="minorHAnsi" w:eastAsiaTheme="minorHAnsi" w:hAnsiTheme="minorHAnsi"/>
                <w:sz w:val="18"/>
                <w:szCs w:val="18"/>
              </w:rPr>
              <w:t xml:space="preserve">echling, Gast, &amp; Langone, 2002;  Mechling, 2004;  Dipipi-Hoy &amp; </w:t>
            </w:r>
            <w:r w:rsidRPr="00F935BF">
              <w:rPr>
                <w:rFonts w:asciiTheme="minorHAnsi" w:eastAsiaTheme="minorHAnsi" w:hAnsiTheme="minorHAnsi"/>
                <w:sz w:val="18"/>
                <w:szCs w:val="18"/>
              </w:rPr>
              <w:lastRenderedPageBreak/>
              <w:t xml:space="preserve">Jitendra, 2004; </w:t>
            </w:r>
            <w:r w:rsidR="00D840EC" w:rsidRPr="00F935BF">
              <w:rPr>
                <w:rFonts w:asciiTheme="minorHAnsi" w:eastAsiaTheme="minorHAnsi" w:hAnsiTheme="minorHAnsi"/>
                <w:sz w:val="18"/>
                <w:szCs w:val="18"/>
              </w:rPr>
              <w:t xml:space="preserve"> Cihak, Al</w:t>
            </w:r>
            <w:r w:rsidRPr="00F935BF">
              <w:rPr>
                <w:rFonts w:asciiTheme="minorHAnsi" w:eastAsiaTheme="minorHAnsi" w:hAnsiTheme="minorHAnsi"/>
                <w:sz w:val="18"/>
                <w:szCs w:val="18"/>
              </w:rPr>
              <w:t xml:space="preserve">berto, Kessler, &amp; Taber, 2004; Aeschleman &amp; Schladenhauffen, 1984; </w:t>
            </w:r>
            <w:r w:rsidR="00D840EC" w:rsidRPr="00F935BF">
              <w:rPr>
                <w:rFonts w:asciiTheme="minorHAnsi" w:eastAsiaTheme="minorHAnsi" w:hAnsiTheme="minorHAnsi"/>
                <w:sz w:val="18"/>
                <w:szCs w:val="18"/>
              </w:rPr>
              <w:t>Ni</w:t>
            </w:r>
            <w:r w:rsidRPr="00F935BF">
              <w:rPr>
                <w:rFonts w:asciiTheme="minorHAnsi" w:eastAsiaTheme="minorHAnsi" w:hAnsiTheme="minorHAnsi"/>
                <w:sz w:val="18"/>
                <w:szCs w:val="18"/>
              </w:rPr>
              <w:t xml:space="preserve">etupski, Welch, &amp; Wacker, 1983;  McDonnell, 1987;  Alberto, Cihak, &amp; Gama, 2005; </w:t>
            </w:r>
            <w:r w:rsidR="00D840EC" w:rsidRPr="00F935BF">
              <w:rPr>
                <w:rFonts w:asciiTheme="minorHAnsi" w:eastAsiaTheme="minorHAnsi" w:hAnsiTheme="minorHAnsi"/>
                <w:sz w:val="18"/>
                <w:szCs w:val="18"/>
              </w:rPr>
              <w:t xml:space="preserve"> Sandknop, Schu</w:t>
            </w:r>
            <w:r w:rsidRPr="00F935BF">
              <w:rPr>
                <w:rFonts w:asciiTheme="minorHAnsi" w:eastAsiaTheme="minorHAnsi" w:hAnsiTheme="minorHAnsi"/>
                <w:sz w:val="18"/>
                <w:szCs w:val="18"/>
              </w:rPr>
              <w:t xml:space="preserve">ster, Wolery, &amp; Cross, 1992; </w:t>
            </w:r>
            <w:r w:rsidR="00D840EC" w:rsidRPr="00F935BF">
              <w:rPr>
                <w:rFonts w:asciiTheme="minorHAnsi" w:eastAsiaTheme="minorHAnsi" w:hAnsiTheme="minorHAnsi"/>
                <w:sz w:val="18"/>
                <w:szCs w:val="18"/>
              </w:rPr>
              <w:t xml:space="preserve"> </w:t>
            </w:r>
            <w:r w:rsidRPr="00F935BF">
              <w:rPr>
                <w:rFonts w:asciiTheme="minorHAnsi" w:eastAsiaTheme="minorHAnsi" w:hAnsiTheme="minorHAnsi"/>
                <w:sz w:val="18"/>
                <w:szCs w:val="18"/>
              </w:rPr>
              <w:t xml:space="preserve">McDonnell, 1987; Denny &amp; Test, 1995; Cihak &amp; Grim, 2008; Ayres, Langone, Boon, &amp; Norman, 2006; </w:t>
            </w:r>
            <w:r w:rsidR="00D840EC" w:rsidRPr="00F935BF">
              <w:rPr>
                <w:rFonts w:asciiTheme="minorHAnsi" w:eastAsiaTheme="minorHAnsi" w:hAnsiTheme="minorHAnsi"/>
                <w:sz w:val="18"/>
                <w:szCs w:val="18"/>
              </w:rPr>
              <w:t xml:space="preserve"> </w:t>
            </w:r>
            <w:r w:rsidRPr="00F935BF">
              <w:rPr>
                <w:rFonts w:asciiTheme="minorHAnsi" w:eastAsiaTheme="minorHAnsi" w:hAnsiTheme="minorHAnsi"/>
                <w:sz w:val="18"/>
                <w:szCs w:val="18"/>
              </w:rPr>
              <w:t xml:space="preserve">Westling, Floyd, &amp; Carr, 1990; Alberto, Cihak, &amp; Gama, 2005; </w:t>
            </w:r>
            <w:r w:rsidR="00D840EC" w:rsidRPr="00F935BF">
              <w:rPr>
                <w:rFonts w:asciiTheme="minorHAnsi" w:eastAsiaTheme="minorHAnsi" w:hAnsiTheme="minorHAnsi"/>
                <w:sz w:val="18"/>
                <w:szCs w:val="18"/>
              </w:rPr>
              <w:t>Haring, Kenne</w:t>
            </w:r>
            <w:r w:rsidRPr="00F935BF">
              <w:rPr>
                <w:rFonts w:asciiTheme="minorHAnsi" w:eastAsiaTheme="minorHAnsi" w:hAnsiTheme="minorHAnsi"/>
                <w:sz w:val="18"/>
                <w:szCs w:val="18"/>
              </w:rPr>
              <w:t>dy, Adams, &amp; Pitts-Conway</w:t>
            </w:r>
            <w:r w:rsidR="00D840EC" w:rsidRPr="00F935BF">
              <w:rPr>
                <w:rFonts w:asciiTheme="minorHAnsi" w:eastAsiaTheme="minorHAnsi" w:hAnsiTheme="minorHAnsi"/>
                <w:sz w:val="18"/>
                <w:szCs w:val="18"/>
              </w:rPr>
              <w:t>,</w:t>
            </w:r>
            <w:r w:rsidRPr="00F935BF">
              <w:rPr>
                <w:rFonts w:asciiTheme="minorHAnsi" w:eastAsiaTheme="minorHAnsi" w:hAnsiTheme="minorHAnsi"/>
                <w:sz w:val="18"/>
                <w:szCs w:val="18"/>
              </w:rPr>
              <w:t xml:space="preserve">1987; </w:t>
            </w:r>
            <w:r w:rsidR="00D840EC" w:rsidRPr="00F935BF">
              <w:rPr>
                <w:rFonts w:asciiTheme="minorHAnsi" w:eastAsiaTheme="minorHAnsi" w:hAnsiTheme="minorHAnsi"/>
                <w:sz w:val="18"/>
                <w:szCs w:val="18"/>
              </w:rPr>
              <w:t xml:space="preserve"> Westling, Floyd, &amp; Carr</w:t>
            </w:r>
            <w:r w:rsidRPr="00F935BF">
              <w:rPr>
                <w:rFonts w:asciiTheme="minorHAnsi" w:eastAsiaTheme="minorHAnsi" w:hAnsiTheme="minorHAnsi"/>
                <w:sz w:val="18"/>
                <w:szCs w:val="18"/>
              </w:rPr>
              <w:t>, 1990</w:t>
            </w:r>
          </w:p>
        </w:tc>
      </w:tr>
      <w:tr w:rsidR="00B3038E" w:rsidRPr="00F935BF" w:rsidTr="0047170E">
        <w:trPr>
          <w:trHeight w:val="368"/>
        </w:trPr>
        <w:tc>
          <w:tcPr>
            <w:tcW w:w="1137" w:type="pct"/>
          </w:tcPr>
          <w:p w:rsidR="00B3038E" w:rsidRPr="00F935BF" w:rsidRDefault="00D840EC" w:rsidP="00D840EC">
            <w:pPr>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Safety Skills</w:t>
            </w:r>
          </w:p>
        </w:tc>
        <w:tc>
          <w:tcPr>
            <w:tcW w:w="2980" w:type="pct"/>
          </w:tcPr>
          <w:p w:rsidR="00B3038E" w:rsidRPr="00F935BF" w:rsidRDefault="0047170E" w:rsidP="00C555FB">
            <w:pPr>
              <w:pStyle w:val="ListParagraph"/>
              <w:numPr>
                <w:ilvl w:val="0"/>
                <w:numId w:val="31"/>
              </w:numPr>
              <w:rPr>
                <w:rFonts w:asciiTheme="minorHAnsi" w:eastAsiaTheme="minorHAnsi" w:hAnsiTheme="minorHAnsi"/>
                <w:sz w:val="20"/>
                <w:szCs w:val="20"/>
              </w:rPr>
            </w:pPr>
            <w:r w:rsidRPr="00F935BF">
              <w:rPr>
                <w:rFonts w:asciiTheme="minorHAnsi" w:eastAsiaTheme="minorHAnsi" w:hAnsiTheme="minorHAnsi"/>
                <w:sz w:val="20"/>
                <w:szCs w:val="20"/>
              </w:rPr>
              <w:t>Using community-b</w:t>
            </w:r>
            <w:r w:rsidR="00D840EC" w:rsidRPr="00F935BF">
              <w:rPr>
                <w:rFonts w:asciiTheme="minorHAnsi" w:eastAsiaTheme="minorHAnsi" w:hAnsiTheme="minorHAnsi"/>
                <w:sz w:val="20"/>
                <w:szCs w:val="20"/>
              </w:rPr>
              <w:t>ased instruction</w:t>
            </w:r>
          </w:p>
          <w:p w:rsidR="00D840EC" w:rsidRPr="00F935BF" w:rsidRDefault="00D840EC" w:rsidP="00C555FB">
            <w:pPr>
              <w:pStyle w:val="ListParagraph"/>
              <w:numPr>
                <w:ilvl w:val="0"/>
                <w:numId w:val="31"/>
              </w:numPr>
              <w:rPr>
                <w:rFonts w:asciiTheme="minorHAnsi" w:eastAsiaTheme="minorHAnsi" w:hAnsiTheme="minorHAnsi"/>
                <w:sz w:val="20"/>
                <w:szCs w:val="20"/>
              </w:rPr>
            </w:pPr>
            <w:r w:rsidRPr="00F935BF">
              <w:rPr>
                <w:rFonts w:asciiTheme="minorHAnsi" w:eastAsiaTheme="minorHAnsi" w:hAnsiTheme="minorHAnsi"/>
                <w:sz w:val="20"/>
                <w:szCs w:val="20"/>
              </w:rPr>
              <w:t>Using least-to-most prompting</w:t>
            </w:r>
          </w:p>
          <w:p w:rsidR="00D840EC" w:rsidRPr="00F935BF" w:rsidRDefault="00D840EC" w:rsidP="00C555FB">
            <w:pPr>
              <w:pStyle w:val="ListParagraph"/>
              <w:numPr>
                <w:ilvl w:val="0"/>
                <w:numId w:val="31"/>
              </w:numPr>
              <w:rPr>
                <w:rFonts w:asciiTheme="minorHAnsi" w:eastAsiaTheme="minorHAnsi" w:hAnsiTheme="minorHAnsi"/>
                <w:sz w:val="20"/>
                <w:szCs w:val="20"/>
              </w:rPr>
            </w:pPr>
            <w:r w:rsidRPr="00F935BF">
              <w:rPr>
                <w:rFonts w:asciiTheme="minorHAnsi" w:eastAsiaTheme="minorHAnsi" w:hAnsiTheme="minorHAnsi"/>
                <w:sz w:val="20"/>
                <w:szCs w:val="20"/>
              </w:rPr>
              <w:t>Using progressive time delay</w:t>
            </w:r>
          </w:p>
        </w:tc>
        <w:tc>
          <w:tcPr>
            <w:tcW w:w="883" w:type="pct"/>
          </w:tcPr>
          <w:p w:rsidR="00B3038E" w:rsidRPr="00F935BF" w:rsidRDefault="00D840EC" w:rsidP="00F935BF">
            <w:pPr>
              <w:spacing w:before="240"/>
              <w:ind w:left="0" w:firstLine="0"/>
              <w:rPr>
                <w:rFonts w:asciiTheme="minorHAnsi" w:eastAsiaTheme="minorHAnsi" w:hAnsiTheme="minorHAnsi"/>
                <w:sz w:val="18"/>
                <w:szCs w:val="18"/>
              </w:rPr>
            </w:pPr>
            <w:r w:rsidRPr="00F935BF">
              <w:rPr>
                <w:rFonts w:asciiTheme="minorHAnsi" w:eastAsiaTheme="minorHAnsi" w:hAnsiTheme="minorHAnsi"/>
                <w:sz w:val="18"/>
                <w:szCs w:val="18"/>
              </w:rPr>
              <w:t>Collins, Stinson, &amp; Land</w:t>
            </w:r>
            <w:r w:rsidR="00F935BF" w:rsidRPr="00F935BF">
              <w:rPr>
                <w:rFonts w:asciiTheme="minorHAnsi" w:eastAsiaTheme="minorHAnsi" w:hAnsiTheme="minorHAnsi"/>
                <w:sz w:val="18"/>
                <w:szCs w:val="18"/>
              </w:rPr>
              <w:t xml:space="preserve">, 1993; Collins &amp; Stinson, 1994; 1995; </w:t>
            </w:r>
            <w:r w:rsidRPr="00F935BF">
              <w:rPr>
                <w:rFonts w:asciiTheme="minorHAnsi" w:eastAsiaTheme="minorHAnsi" w:hAnsiTheme="minorHAnsi"/>
                <w:sz w:val="18"/>
                <w:szCs w:val="18"/>
              </w:rPr>
              <w:t>Tab</w:t>
            </w:r>
            <w:r w:rsidR="00F935BF" w:rsidRPr="00F935BF">
              <w:rPr>
                <w:rFonts w:asciiTheme="minorHAnsi" w:eastAsiaTheme="minorHAnsi" w:hAnsiTheme="minorHAnsi"/>
                <w:sz w:val="18"/>
                <w:szCs w:val="18"/>
              </w:rPr>
              <w:t xml:space="preserve">er, Alberto, Seltzer, &amp; Hughes, 2003; </w:t>
            </w:r>
            <w:r w:rsidRPr="00F935BF">
              <w:rPr>
                <w:rFonts w:asciiTheme="minorHAnsi" w:eastAsiaTheme="minorHAnsi" w:hAnsiTheme="minorHAnsi"/>
                <w:sz w:val="18"/>
                <w:szCs w:val="18"/>
              </w:rPr>
              <w:t xml:space="preserve"> Taber, Alberto, Hughes, &amp; Sel</w:t>
            </w:r>
            <w:r w:rsidR="00F935BF" w:rsidRPr="00F935BF">
              <w:rPr>
                <w:rFonts w:asciiTheme="minorHAnsi" w:eastAsiaTheme="minorHAnsi" w:hAnsiTheme="minorHAnsi"/>
                <w:sz w:val="18"/>
                <w:szCs w:val="18"/>
              </w:rPr>
              <w:t xml:space="preserve">tzer, 2002; Collins, Stinson, &amp; Land, 1993; </w:t>
            </w:r>
            <w:r w:rsidRPr="00F935BF">
              <w:rPr>
                <w:rFonts w:asciiTheme="minorHAnsi" w:eastAsiaTheme="minorHAnsi" w:hAnsiTheme="minorHAnsi"/>
                <w:sz w:val="18"/>
                <w:szCs w:val="18"/>
              </w:rPr>
              <w:t>Branham,</w:t>
            </w:r>
            <w:r w:rsidR="00F935BF" w:rsidRPr="00F935BF">
              <w:rPr>
                <w:rFonts w:asciiTheme="minorHAnsi" w:eastAsiaTheme="minorHAnsi" w:hAnsiTheme="minorHAnsi"/>
                <w:sz w:val="18"/>
                <w:szCs w:val="18"/>
              </w:rPr>
              <w:t xml:space="preserve"> Collins, Schuster, &amp; Kleinert, 1999</w:t>
            </w:r>
            <w:r w:rsidRPr="00F935BF">
              <w:rPr>
                <w:rFonts w:asciiTheme="minorHAnsi" w:eastAsiaTheme="minorHAnsi" w:hAnsiTheme="minorHAnsi"/>
                <w:sz w:val="18"/>
                <w:szCs w:val="18"/>
              </w:rPr>
              <w:t xml:space="preserve"> </w:t>
            </w:r>
          </w:p>
        </w:tc>
      </w:tr>
      <w:tr w:rsidR="00B3038E" w:rsidRPr="00F935BF" w:rsidTr="0047170E">
        <w:trPr>
          <w:trHeight w:val="368"/>
        </w:trPr>
        <w:tc>
          <w:tcPr>
            <w:tcW w:w="1137" w:type="pct"/>
          </w:tcPr>
          <w:p w:rsidR="00B3038E" w:rsidRPr="00F935BF" w:rsidRDefault="00D840EC"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Social Skills</w:t>
            </w:r>
          </w:p>
        </w:tc>
        <w:tc>
          <w:tcPr>
            <w:tcW w:w="2980" w:type="pct"/>
          </w:tcPr>
          <w:p w:rsidR="00B3038E" w:rsidRPr="00F935BF" w:rsidRDefault="00D840EC" w:rsidP="00C555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response prompting</w:t>
            </w:r>
          </w:p>
          <w:p w:rsidR="00D840EC" w:rsidRPr="00F935BF" w:rsidRDefault="00D840EC" w:rsidP="00C555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self-management</w:t>
            </w:r>
          </w:p>
          <w:p w:rsidR="00D840EC" w:rsidRPr="00F935BF" w:rsidRDefault="00D840EC" w:rsidP="00C555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Using simulations</w:t>
            </w:r>
          </w:p>
        </w:tc>
        <w:tc>
          <w:tcPr>
            <w:tcW w:w="883" w:type="pct"/>
          </w:tcPr>
          <w:p w:rsidR="00B3038E" w:rsidRPr="00F935BF" w:rsidRDefault="00F935BF" w:rsidP="0047170E">
            <w:pPr>
              <w:ind w:left="0" w:firstLine="0"/>
              <w:rPr>
                <w:rFonts w:asciiTheme="minorHAnsi" w:eastAsiaTheme="minorHAnsi" w:hAnsiTheme="minorHAnsi"/>
                <w:b/>
                <w:sz w:val="18"/>
                <w:szCs w:val="18"/>
              </w:rPr>
            </w:pPr>
            <w:r w:rsidRPr="00F935BF">
              <w:rPr>
                <w:rFonts w:asciiTheme="minorHAnsi" w:eastAsiaTheme="minorHAnsi" w:hAnsiTheme="minorHAnsi"/>
                <w:sz w:val="18"/>
                <w:szCs w:val="18"/>
              </w:rPr>
              <w:t xml:space="preserve">Storey &amp; Allargice, 1987; </w:t>
            </w:r>
            <w:r w:rsidR="000D43A4" w:rsidRPr="00F935BF">
              <w:rPr>
                <w:rFonts w:asciiTheme="minorHAnsi" w:eastAsiaTheme="minorHAnsi" w:hAnsiTheme="minorHAnsi"/>
                <w:sz w:val="18"/>
                <w:szCs w:val="18"/>
              </w:rPr>
              <w:t xml:space="preserve"> Heller, All</w:t>
            </w:r>
            <w:r w:rsidRPr="00F935BF">
              <w:rPr>
                <w:rFonts w:asciiTheme="minorHAnsi" w:eastAsiaTheme="minorHAnsi" w:hAnsiTheme="minorHAnsi"/>
                <w:sz w:val="18"/>
                <w:szCs w:val="18"/>
              </w:rPr>
              <w:t xml:space="preserve">good, Ware, Arnold, &amp; Castelle, 1996; </w:t>
            </w:r>
            <w:r w:rsidR="000D43A4" w:rsidRPr="00F935BF">
              <w:rPr>
                <w:rFonts w:asciiTheme="minorHAnsi" w:eastAsiaTheme="minorHAnsi" w:hAnsiTheme="minorHAnsi"/>
                <w:sz w:val="18"/>
                <w:szCs w:val="18"/>
              </w:rPr>
              <w:t xml:space="preserve"> Clement</w:t>
            </w:r>
            <w:r w:rsidRPr="00F935BF">
              <w:rPr>
                <w:rFonts w:asciiTheme="minorHAnsi" w:eastAsiaTheme="minorHAnsi" w:hAnsiTheme="minorHAnsi"/>
                <w:sz w:val="18"/>
                <w:szCs w:val="18"/>
              </w:rPr>
              <w:t xml:space="preserve">-Heist, Siegel, &amp; Gaylord-Ross, 1992; </w:t>
            </w:r>
            <w:r w:rsidR="000D43A4" w:rsidRPr="00F935BF">
              <w:rPr>
                <w:rFonts w:asciiTheme="minorHAnsi" w:eastAsiaTheme="minorHAnsi" w:hAnsiTheme="minorHAnsi"/>
                <w:sz w:val="18"/>
                <w:szCs w:val="18"/>
              </w:rPr>
              <w:t xml:space="preserve">Baum, Clark, </w:t>
            </w:r>
            <w:r w:rsidRPr="00F935BF">
              <w:rPr>
                <w:rFonts w:asciiTheme="minorHAnsi" w:eastAsiaTheme="minorHAnsi" w:hAnsiTheme="minorHAnsi"/>
                <w:sz w:val="18"/>
                <w:szCs w:val="18"/>
              </w:rPr>
              <w:t xml:space="preserve">McCarthy, Sandler, &amp; Carpenter, 1987; </w:t>
            </w:r>
            <w:r w:rsidR="000D43A4" w:rsidRPr="00F935BF">
              <w:rPr>
                <w:rFonts w:asciiTheme="minorHAnsi" w:eastAsiaTheme="minorHAnsi" w:hAnsiTheme="minorHAnsi"/>
                <w:sz w:val="18"/>
                <w:szCs w:val="18"/>
              </w:rPr>
              <w:t xml:space="preserve"> Moo</w:t>
            </w:r>
            <w:r w:rsidRPr="00F935BF">
              <w:rPr>
                <w:rFonts w:asciiTheme="minorHAnsi" w:eastAsiaTheme="minorHAnsi" w:hAnsiTheme="minorHAnsi"/>
                <w:sz w:val="18"/>
                <w:szCs w:val="18"/>
              </w:rPr>
              <w:t>re, Cartledge, &amp; Heckaman</w:t>
            </w:r>
            <w:r w:rsidR="000D43A4" w:rsidRPr="00F935BF">
              <w:rPr>
                <w:rFonts w:asciiTheme="minorHAnsi" w:eastAsiaTheme="minorHAnsi" w:hAnsiTheme="minorHAnsi"/>
                <w:sz w:val="18"/>
                <w:szCs w:val="18"/>
              </w:rPr>
              <w:t>,</w:t>
            </w:r>
            <w:r w:rsidRPr="00F935BF">
              <w:rPr>
                <w:rFonts w:asciiTheme="minorHAnsi" w:eastAsiaTheme="minorHAnsi" w:hAnsiTheme="minorHAnsi"/>
                <w:sz w:val="18"/>
                <w:szCs w:val="18"/>
              </w:rPr>
              <w:t xml:space="preserve"> 1995; </w:t>
            </w:r>
            <w:r w:rsidR="000D43A4" w:rsidRPr="00F935BF">
              <w:rPr>
                <w:rFonts w:asciiTheme="minorHAnsi" w:eastAsiaTheme="minorHAnsi" w:hAnsiTheme="minorHAnsi"/>
                <w:sz w:val="18"/>
                <w:szCs w:val="18"/>
              </w:rPr>
              <w:t xml:space="preserve"> Keog</w:t>
            </w:r>
            <w:r w:rsidRPr="00F935BF">
              <w:rPr>
                <w:rFonts w:asciiTheme="minorHAnsi" w:eastAsiaTheme="minorHAnsi" w:hAnsiTheme="minorHAnsi"/>
                <w:sz w:val="18"/>
                <w:szCs w:val="18"/>
              </w:rPr>
              <w:t xml:space="preserve">h, Faw, Whitman, &amp; Reid, 1984; </w:t>
            </w:r>
            <w:r w:rsidR="000D43A4" w:rsidRPr="00F935BF">
              <w:rPr>
                <w:rFonts w:asciiTheme="minorHAnsi" w:eastAsiaTheme="minorHAnsi" w:hAnsiTheme="minorHAnsi"/>
                <w:sz w:val="18"/>
                <w:szCs w:val="18"/>
              </w:rPr>
              <w:t xml:space="preserve">Hunt, </w:t>
            </w:r>
            <w:r w:rsidRPr="00F935BF">
              <w:rPr>
                <w:rFonts w:asciiTheme="minorHAnsi" w:eastAsiaTheme="minorHAnsi" w:hAnsiTheme="minorHAnsi"/>
                <w:sz w:val="18"/>
                <w:szCs w:val="18"/>
              </w:rPr>
              <w:t xml:space="preserve">Alwell, Goetz, &amp; Sailor, 1990; Hunt, Alwell, </w:t>
            </w:r>
            <w:r w:rsidRPr="00F935BF">
              <w:rPr>
                <w:rFonts w:asciiTheme="minorHAnsi" w:eastAsiaTheme="minorHAnsi" w:hAnsiTheme="minorHAnsi"/>
                <w:sz w:val="18"/>
                <w:szCs w:val="18"/>
              </w:rPr>
              <w:lastRenderedPageBreak/>
              <w:t xml:space="preserve">&amp; Goetz, 1988;  Frea, </w:t>
            </w:r>
            <w:r w:rsidR="000D43A4" w:rsidRPr="00F935BF">
              <w:rPr>
                <w:rFonts w:asciiTheme="minorHAnsi" w:eastAsiaTheme="minorHAnsi" w:hAnsiTheme="minorHAnsi"/>
                <w:sz w:val="18"/>
                <w:szCs w:val="18"/>
              </w:rPr>
              <w:t>1997</w:t>
            </w:r>
          </w:p>
        </w:tc>
      </w:tr>
      <w:tr w:rsidR="00B3038E" w:rsidRPr="00F935BF" w:rsidTr="0047170E">
        <w:trPr>
          <w:trHeight w:val="368"/>
        </w:trPr>
        <w:tc>
          <w:tcPr>
            <w:tcW w:w="1137" w:type="pct"/>
          </w:tcPr>
          <w:p w:rsidR="00B3038E" w:rsidRPr="00F935BF" w:rsidRDefault="00BB347C" w:rsidP="00BB347C">
            <w:pPr>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Specific Job Skills</w:t>
            </w:r>
          </w:p>
        </w:tc>
        <w:tc>
          <w:tcPr>
            <w:tcW w:w="2980" w:type="pct"/>
          </w:tcPr>
          <w:p w:rsidR="00BB347C" w:rsidRPr="00F935BF" w:rsidRDefault="00BB347C"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least-to-most prompting</w:t>
            </w:r>
          </w:p>
        </w:tc>
        <w:tc>
          <w:tcPr>
            <w:tcW w:w="883" w:type="pct"/>
          </w:tcPr>
          <w:p w:rsidR="00B3038E" w:rsidRPr="00F935BF" w:rsidRDefault="00BB347C" w:rsidP="00E24848">
            <w:pPr>
              <w:ind w:left="0" w:firstLine="0"/>
              <w:rPr>
                <w:rFonts w:asciiTheme="minorHAnsi" w:eastAsiaTheme="minorHAnsi" w:hAnsiTheme="minorHAnsi"/>
                <w:sz w:val="18"/>
                <w:szCs w:val="18"/>
              </w:rPr>
            </w:pPr>
            <w:r w:rsidRPr="00F935BF">
              <w:rPr>
                <w:rFonts w:asciiTheme="minorHAnsi" w:eastAsiaTheme="minorHAnsi" w:hAnsiTheme="minorHAnsi"/>
                <w:sz w:val="18"/>
                <w:szCs w:val="18"/>
              </w:rPr>
              <w:t>Smith, Collin</w:t>
            </w:r>
            <w:r w:rsidR="00F935BF" w:rsidRPr="00F935BF">
              <w:rPr>
                <w:rFonts w:asciiTheme="minorHAnsi" w:eastAsiaTheme="minorHAnsi" w:hAnsiTheme="minorHAnsi"/>
                <w:sz w:val="18"/>
                <w:szCs w:val="18"/>
              </w:rPr>
              <w:t xml:space="preserve">s, Schuster, &amp; Kleinert, 1999; Bates, Cuvo, Miner, &amp; Korabek, </w:t>
            </w:r>
            <w:r w:rsidRPr="00F935BF">
              <w:rPr>
                <w:rFonts w:asciiTheme="minorHAnsi" w:eastAsiaTheme="minorHAnsi" w:hAnsiTheme="minorHAnsi"/>
                <w:sz w:val="18"/>
                <w:szCs w:val="18"/>
              </w:rPr>
              <w:t>2001</w:t>
            </w:r>
          </w:p>
        </w:tc>
      </w:tr>
      <w:tr w:rsidR="00B3038E" w:rsidRPr="00F935BF" w:rsidTr="0047170E">
        <w:trPr>
          <w:trHeight w:val="368"/>
        </w:trPr>
        <w:tc>
          <w:tcPr>
            <w:tcW w:w="1137" w:type="pct"/>
          </w:tcPr>
          <w:p w:rsidR="00B3038E" w:rsidRPr="00F935BF" w:rsidRDefault="00BB347C"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Student Involvement in the IEP</w:t>
            </w:r>
          </w:p>
        </w:tc>
        <w:tc>
          <w:tcPr>
            <w:tcW w:w="2980" w:type="pct"/>
          </w:tcPr>
          <w:p w:rsidR="00B3038E" w:rsidRPr="00F935BF" w:rsidRDefault="00BB347C"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published curricula</w:t>
            </w:r>
          </w:p>
        </w:tc>
        <w:tc>
          <w:tcPr>
            <w:tcW w:w="883" w:type="pct"/>
          </w:tcPr>
          <w:p w:rsidR="00B3038E" w:rsidRPr="00F935BF" w:rsidRDefault="00BB347C"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Allen, Smith, Test, Flowers, &amp; Wood, 2001; Martin et al., 2006; Snyder &amp; Shapiro, 1997, Lee, Wehmeyer, Palmer, Williams, Diehm, Davies, &amp; Stock, </w:t>
            </w:r>
            <w:r w:rsidR="00F935BF" w:rsidRPr="00F935BF">
              <w:rPr>
                <w:rFonts w:asciiTheme="minorHAnsi" w:eastAsiaTheme="minorHAnsi" w:hAnsiTheme="minorHAnsi"/>
                <w:sz w:val="18"/>
                <w:szCs w:val="18"/>
              </w:rPr>
              <w:t xml:space="preserve">2010, Hammer, 2004; </w:t>
            </w:r>
            <w:r w:rsidRPr="00F935BF">
              <w:rPr>
                <w:rFonts w:asciiTheme="minorHAnsi" w:eastAsiaTheme="minorHAnsi" w:hAnsiTheme="minorHAnsi"/>
                <w:sz w:val="18"/>
                <w:szCs w:val="18"/>
              </w:rPr>
              <w:t>La</w:t>
            </w:r>
            <w:r w:rsidR="00F935BF" w:rsidRPr="00F935BF">
              <w:rPr>
                <w:rFonts w:asciiTheme="minorHAnsi" w:eastAsiaTheme="minorHAnsi" w:hAnsiTheme="minorHAnsi"/>
                <w:sz w:val="18"/>
                <w:szCs w:val="18"/>
              </w:rPr>
              <w:t xml:space="preserve">ncaster, Schumaker, &amp; Deschler, 2002;  Miner &amp; Bates, 1997; Snyder &amp; Shapiro, 1997; Test &amp; Neale, 2004;  Van Reusen &amp; Bos, 1994; </w:t>
            </w:r>
            <w:r w:rsidRPr="00F935BF">
              <w:rPr>
                <w:rFonts w:asciiTheme="minorHAnsi" w:eastAsiaTheme="minorHAnsi" w:hAnsiTheme="minorHAnsi"/>
                <w:sz w:val="18"/>
                <w:szCs w:val="18"/>
              </w:rPr>
              <w:t>Van Reusen, Deschler, &amp; Schumake</w:t>
            </w:r>
            <w:r w:rsidR="00F935BF" w:rsidRPr="00F935BF">
              <w:rPr>
                <w:rFonts w:asciiTheme="minorHAnsi" w:eastAsiaTheme="minorHAnsi" w:hAnsiTheme="minorHAnsi"/>
                <w:sz w:val="18"/>
                <w:szCs w:val="18"/>
              </w:rPr>
              <w:t xml:space="preserve">r, </w:t>
            </w:r>
            <w:r w:rsidRPr="00F935BF">
              <w:rPr>
                <w:rFonts w:asciiTheme="minorHAnsi" w:eastAsiaTheme="minorHAnsi" w:hAnsiTheme="minorHAnsi"/>
                <w:sz w:val="18"/>
                <w:szCs w:val="18"/>
              </w:rPr>
              <w:t>1989</w:t>
            </w:r>
          </w:p>
        </w:tc>
      </w:tr>
      <w:tr w:rsidR="00B3038E" w:rsidRPr="00F935BF" w:rsidTr="0047170E">
        <w:trPr>
          <w:trHeight w:val="368"/>
        </w:trPr>
        <w:tc>
          <w:tcPr>
            <w:tcW w:w="1137" w:type="pct"/>
          </w:tcPr>
          <w:p w:rsidR="00B3038E" w:rsidRPr="00F935BF" w:rsidRDefault="00095643"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Student Participation in IEP meetings</w:t>
            </w:r>
          </w:p>
        </w:tc>
        <w:tc>
          <w:tcPr>
            <w:tcW w:w="2980" w:type="pct"/>
          </w:tcPr>
          <w:p w:rsidR="00095643" w:rsidRPr="00F935BF" w:rsidRDefault="00095643"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computer assisted instruction</w:t>
            </w:r>
          </w:p>
        </w:tc>
        <w:tc>
          <w:tcPr>
            <w:tcW w:w="883" w:type="pct"/>
          </w:tcPr>
          <w:p w:rsidR="00B3038E" w:rsidRPr="00F935BF" w:rsidRDefault="00095643"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Lancast</w:t>
            </w:r>
            <w:r w:rsidR="00F935BF" w:rsidRPr="00F935BF">
              <w:rPr>
                <w:rFonts w:asciiTheme="minorHAnsi" w:eastAsiaTheme="minorHAnsi" w:hAnsiTheme="minorHAnsi"/>
                <w:sz w:val="18"/>
                <w:szCs w:val="18"/>
              </w:rPr>
              <w:t xml:space="preserve">er, Schumaker, &amp; Deshler, 2002;  Hammer, </w:t>
            </w:r>
            <w:r w:rsidRPr="00F935BF">
              <w:rPr>
                <w:rFonts w:asciiTheme="minorHAnsi" w:eastAsiaTheme="minorHAnsi" w:hAnsiTheme="minorHAnsi"/>
                <w:sz w:val="18"/>
                <w:szCs w:val="18"/>
              </w:rPr>
              <w:t>2004</w:t>
            </w:r>
          </w:p>
        </w:tc>
      </w:tr>
      <w:tr w:rsidR="00095643" w:rsidRPr="00F935BF" w:rsidTr="0047170E">
        <w:trPr>
          <w:trHeight w:val="368"/>
        </w:trPr>
        <w:tc>
          <w:tcPr>
            <w:tcW w:w="1137" w:type="pct"/>
          </w:tcPr>
          <w:p w:rsidR="00095643" w:rsidRPr="00F935BF" w:rsidRDefault="00095643"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 xml:space="preserve">Using </w:t>
            </w:r>
            <w:r w:rsidRPr="00F935BF">
              <w:rPr>
                <w:rFonts w:asciiTheme="minorHAnsi" w:eastAsiaTheme="minorHAnsi" w:hAnsiTheme="minorHAnsi"/>
                <w:i/>
                <w:sz w:val="20"/>
                <w:szCs w:val="20"/>
              </w:rPr>
              <w:t>Self-Advocacy Strategy</w:t>
            </w:r>
            <w:r w:rsidRPr="00F935BF">
              <w:rPr>
                <w:rFonts w:asciiTheme="minorHAnsi" w:eastAsiaTheme="minorHAnsi" w:hAnsiTheme="minorHAnsi"/>
                <w:sz w:val="20"/>
                <w:szCs w:val="20"/>
              </w:rPr>
              <w:t xml:space="preserve"> to teach student participation in IEP meetings</w:t>
            </w:r>
          </w:p>
        </w:tc>
        <w:tc>
          <w:tcPr>
            <w:tcW w:w="2980" w:type="pct"/>
          </w:tcPr>
          <w:p w:rsidR="00095643" w:rsidRPr="00F935BF" w:rsidRDefault="00095643"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published curricula</w:t>
            </w:r>
          </w:p>
        </w:tc>
        <w:tc>
          <w:tcPr>
            <w:tcW w:w="883" w:type="pct"/>
          </w:tcPr>
          <w:p w:rsidR="00095643" w:rsidRPr="00F935BF" w:rsidRDefault="00095643"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Van Reusen, Des</w:t>
            </w:r>
            <w:r w:rsidR="00F935BF" w:rsidRPr="00F935BF">
              <w:rPr>
                <w:rFonts w:asciiTheme="minorHAnsi" w:eastAsiaTheme="minorHAnsi" w:hAnsiTheme="minorHAnsi"/>
                <w:sz w:val="18"/>
                <w:szCs w:val="18"/>
              </w:rPr>
              <w:t xml:space="preserve">chler, &amp; Schumaker, 1989;  Van Reusen &amp; Bos, 1994; Test &amp; Neale, 2004; Hammer, 2004; </w:t>
            </w:r>
            <w:r w:rsidRPr="00F935BF">
              <w:rPr>
                <w:rFonts w:asciiTheme="minorHAnsi" w:eastAsiaTheme="minorHAnsi" w:hAnsiTheme="minorHAnsi"/>
                <w:sz w:val="18"/>
                <w:szCs w:val="18"/>
              </w:rPr>
              <w:t xml:space="preserve"> L</w:t>
            </w:r>
            <w:r w:rsidR="00F935BF" w:rsidRPr="00F935BF">
              <w:rPr>
                <w:rFonts w:asciiTheme="minorHAnsi" w:eastAsiaTheme="minorHAnsi" w:hAnsiTheme="minorHAnsi"/>
                <w:sz w:val="18"/>
                <w:szCs w:val="18"/>
              </w:rPr>
              <w:t>ancaster, Schumaker, &amp; Deshler, 2002</w:t>
            </w:r>
          </w:p>
        </w:tc>
      </w:tr>
      <w:tr w:rsidR="00095643" w:rsidRPr="00F935BF" w:rsidTr="0047170E">
        <w:trPr>
          <w:trHeight w:val="368"/>
        </w:trPr>
        <w:tc>
          <w:tcPr>
            <w:tcW w:w="1137" w:type="pct"/>
          </w:tcPr>
          <w:p w:rsidR="00095643" w:rsidRPr="00F935BF" w:rsidRDefault="00095643"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 xml:space="preserve">Using </w:t>
            </w:r>
            <w:r w:rsidRPr="00F935BF">
              <w:rPr>
                <w:rFonts w:asciiTheme="minorHAnsi" w:eastAsiaTheme="minorHAnsi" w:hAnsiTheme="minorHAnsi"/>
                <w:i/>
                <w:sz w:val="20"/>
                <w:szCs w:val="20"/>
              </w:rPr>
              <w:t>Check and Connect</w:t>
            </w:r>
            <w:r w:rsidRPr="00F935BF">
              <w:rPr>
                <w:rFonts w:asciiTheme="minorHAnsi" w:eastAsiaTheme="minorHAnsi" w:hAnsiTheme="minorHAnsi"/>
                <w:sz w:val="20"/>
                <w:szCs w:val="20"/>
              </w:rPr>
              <w:t xml:space="preserve"> to promote student participation in IEP meetings</w:t>
            </w:r>
          </w:p>
        </w:tc>
        <w:tc>
          <w:tcPr>
            <w:tcW w:w="2980" w:type="pct"/>
          </w:tcPr>
          <w:p w:rsidR="00095643" w:rsidRPr="00F935BF" w:rsidRDefault="00095643"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published curricula</w:t>
            </w:r>
          </w:p>
        </w:tc>
        <w:tc>
          <w:tcPr>
            <w:tcW w:w="883" w:type="pct"/>
          </w:tcPr>
          <w:p w:rsidR="00095643" w:rsidRPr="00F935BF" w:rsidRDefault="00095643"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Sinclair, Christensen, &amp; Thur</w:t>
            </w:r>
            <w:r w:rsidR="00F935BF" w:rsidRPr="00F935BF">
              <w:rPr>
                <w:rFonts w:asciiTheme="minorHAnsi" w:eastAsiaTheme="minorHAnsi" w:hAnsiTheme="minorHAnsi"/>
                <w:sz w:val="18"/>
                <w:szCs w:val="18"/>
              </w:rPr>
              <w:t>low, 2005</w:t>
            </w:r>
          </w:p>
        </w:tc>
      </w:tr>
      <w:tr w:rsidR="00095643" w:rsidRPr="00F935BF" w:rsidTr="0047170E">
        <w:trPr>
          <w:trHeight w:val="368"/>
        </w:trPr>
        <w:tc>
          <w:tcPr>
            <w:tcW w:w="1137" w:type="pct"/>
          </w:tcPr>
          <w:p w:rsidR="00095643" w:rsidRPr="00F935BF" w:rsidRDefault="0047170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 xml:space="preserve">Using the </w:t>
            </w:r>
            <w:r w:rsidRPr="00F935BF">
              <w:rPr>
                <w:rFonts w:asciiTheme="minorHAnsi" w:eastAsiaTheme="minorHAnsi" w:hAnsiTheme="minorHAnsi"/>
                <w:i/>
                <w:sz w:val="20"/>
                <w:szCs w:val="20"/>
              </w:rPr>
              <w:t>Self-Directed IEP</w:t>
            </w:r>
            <w:r w:rsidRPr="00F935BF">
              <w:rPr>
                <w:rFonts w:asciiTheme="minorHAnsi" w:eastAsiaTheme="minorHAnsi" w:hAnsiTheme="minorHAnsi"/>
                <w:sz w:val="20"/>
                <w:szCs w:val="20"/>
              </w:rPr>
              <w:t xml:space="preserve"> to teach student participation in IEP meetings</w:t>
            </w:r>
          </w:p>
        </w:tc>
        <w:tc>
          <w:tcPr>
            <w:tcW w:w="2980" w:type="pct"/>
          </w:tcPr>
          <w:p w:rsidR="00095643" w:rsidRPr="00F935BF" w:rsidRDefault="0047170E"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published curricula</w:t>
            </w:r>
          </w:p>
        </w:tc>
        <w:tc>
          <w:tcPr>
            <w:tcW w:w="883" w:type="pct"/>
          </w:tcPr>
          <w:p w:rsidR="00095643" w:rsidRPr="00F935BF" w:rsidRDefault="00F935BF" w:rsidP="00F935BF">
            <w:pPr>
              <w:ind w:left="0" w:firstLine="0"/>
              <w:rPr>
                <w:rFonts w:asciiTheme="minorHAnsi" w:eastAsiaTheme="minorHAnsi" w:hAnsiTheme="minorHAnsi"/>
                <w:sz w:val="18"/>
                <w:szCs w:val="18"/>
              </w:rPr>
            </w:pPr>
            <w:r w:rsidRPr="00F935BF">
              <w:rPr>
                <w:rFonts w:asciiTheme="minorHAnsi" w:eastAsiaTheme="minorHAnsi" w:hAnsiTheme="minorHAnsi"/>
                <w:sz w:val="18"/>
                <w:szCs w:val="18"/>
              </w:rPr>
              <w:t xml:space="preserve">Snyder &amp; Shapiro, 1997; </w:t>
            </w:r>
            <w:r w:rsidR="0047170E" w:rsidRPr="00F935BF">
              <w:rPr>
                <w:rFonts w:asciiTheme="minorHAnsi" w:eastAsiaTheme="minorHAnsi" w:hAnsiTheme="minorHAnsi"/>
                <w:sz w:val="18"/>
                <w:szCs w:val="18"/>
              </w:rPr>
              <w:t xml:space="preserve"> Martin, Van Dycke, Christ</w:t>
            </w:r>
            <w:r w:rsidRPr="00F935BF">
              <w:rPr>
                <w:rFonts w:asciiTheme="minorHAnsi" w:eastAsiaTheme="minorHAnsi" w:hAnsiTheme="minorHAnsi"/>
                <w:sz w:val="18"/>
                <w:szCs w:val="18"/>
              </w:rPr>
              <w:t xml:space="preserve">ensen, Green Gardner, &amp; Lovett, 2006; </w:t>
            </w:r>
            <w:r w:rsidR="0047170E" w:rsidRPr="00F935BF">
              <w:rPr>
                <w:rFonts w:asciiTheme="minorHAnsi" w:eastAsiaTheme="minorHAnsi" w:hAnsiTheme="minorHAnsi"/>
                <w:sz w:val="18"/>
                <w:szCs w:val="18"/>
              </w:rPr>
              <w:t xml:space="preserve"> Allen</w:t>
            </w:r>
            <w:r w:rsidRPr="00F935BF">
              <w:rPr>
                <w:rFonts w:asciiTheme="minorHAnsi" w:eastAsiaTheme="minorHAnsi" w:hAnsiTheme="minorHAnsi"/>
                <w:sz w:val="18"/>
                <w:szCs w:val="18"/>
              </w:rPr>
              <w:t xml:space="preserve">, Smith, Test, Flowers, &amp; Wood, </w:t>
            </w:r>
            <w:r w:rsidR="0047170E" w:rsidRPr="00F935BF">
              <w:rPr>
                <w:rFonts w:asciiTheme="minorHAnsi" w:eastAsiaTheme="minorHAnsi" w:hAnsiTheme="minorHAnsi"/>
                <w:sz w:val="18"/>
                <w:szCs w:val="18"/>
              </w:rPr>
              <w:t>2001</w:t>
            </w:r>
          </w:p>
        </w:tc>
      </w:tr>
      <w:tr w:rsidR="0047170E" w:rsidRPr="00F935BF" w:rsidTr="0047170E">
        <w:trPr>
          <w:trHeight w:val="368"/>
        </w:trPr>
        <w:tc>
          <w:tcPr>
            <w:tcW w:w="1137" w:type="pct"/>
          </w:tcPr>
          <w:p w:rsidR="0047170E" w:rsidRPr="00F935BF" w:rsidRDefault="0047170E" w:rsidP="0047170E">
            <w:pPr>
              <w:ind w:left="0" w:firstLine="0"/>
              <w:rPr>
                <w:rFonts w:asciiTheme="minorHAnsi" w:eastAsiaTheme="minorHAnsi" w:hAnsiTheme="minorHAnsi"/>
                <w:sz w:val="20"/>
                <w:szCs w:val="20"/>
              </w:rPr>
            </w:pPr>
            <w:r w:rsidRPr="00F935BF">
              <w:rPr>
                <w:rFonts w:asciiTheme="minorHAnsi" w:eastAsiaTheme="minorHAnsi" w:hAnsiTheme="minorHAnsi"/>
                <w:sz w:val="20"/>
                <w:szCs w:val="20"/>
              </w:rPr>
              <w:t xml:space="preserve">Using </w:t>
            </w:r>
            <w:r w:rsidRPr="00F935BF">
              <w:rPr>
                <w:rFonts w:asciiTheme="minorHAnsi" w:eastAsiaTheme="minorHAnsi" w:hAnsiTheme="minorHAnsi"/>
                <w:i/>
                <w:sz w:val="20"/>
                <w:szCs w:val="20"/>
              </w:rPr>
              <w:t>Whose Future is it Anyway?</w:t>
            </w:r>
            <w:r w:rsidRPr="00F935BF">
              <w:rPr>
                <w:rFonts w:asciiTheme="minorHAnsi" w:eastAsiaTheme="minorHAnsi" w:hAnsiTheme="minorHAnsi"/>
                <w:sz w:val="20"/>
                <w:szCs w:val="20"/>
              </w:rPr>
              <w:t xml:space="preserve"> To teach student knowledge of Transition Planning</w:t>
            </w:r>
          </w:p>
        </w:tc>
        <w:tc>
          <w:tcPr>
            <w:tcW w:w="2980" w:type="pct"/>
          </w:tcPr>
          <w:p w:rsidR="0047170E" w:rsidRPr="00F935BF" w:rsidRDefault="0047170E" w:rsidP="00C555FB">
            <w:pPr>
              <w:pStyle w:val="ListParagraph"/>
              <w:numPr>
                <w:ilvl w:val="0"/>
                <w:numId w:val="32"/>
              </w:numPr>
              <w:rPr>
                <w:rFonts w:asciiTheme="minorHAnsi" w:eastAsiaTheme="minorHAnsi" w:hAnsiTheme="minorHAnsi"/>
                <w:sz w:val="20"/>
                <w:szCs w:val="20"/>
              </w:rPr>
            </w:pPr>
            <w:r w:rsidRPr="00F935BF">
              <w:rPr>
                <w:rFonts w:asciiTheme="minorHAnsi" w:eastAsiaTheme="minorHAnsi" w:hAnsiTheme="minorHAnsi"/>
                <w:sz w:val="20"/>
                <w:szCs w:val="20"/>
              </w:rPr>
              <w:t>Using published curricula</w:t>
            </w:r>
          </w:p>
        </w:tc>
        <w:tc>
          <w:tcPr>
            <w:tcW w:w="883" w:type="pct"/>
          </w:tcPr>
          <w:p w:rsidR="0047170E" w:rsidRPr="00F935BF" w:rsidRDefault="0047170E" w:rsidP="0047170E">
            <w:pPr>
              <w:ind w:left="0" w:firstLine="0"/>
              <w:rPr>
                <w:rFonts w:asciiTheme="minorHAnsi" w:eastAsiaTheme="minorHAnsi" w:hAnsiTheme="minorHAnsi"/>
                <w:sz w:val="18"/>
                <w:szCs w:val="18"/>
              </w:rPr>
            </w:pPr>
            <w:r w:rsidRPr="00F935BF">
              <w:rPr>
                <w:rFonts w:asciiTheme="minorHAnsi" w:eastAsiaTheme="minorHAnsi" w:hAnsiTheme="minorHAnsi"/>
                <w:sz w:val="18"/>
                <w:szCs w:val="18"/>
              </w:rPr>
              <w:t>Lee, Wehmeyer, Palmer, Wi</w:t>
            </w:r>
            <w:r w:rsidR="00F935BF" w:rsidRPr="00F935BF">
              <w:rPr>
                <w:rFonts w:asciiTheme="minorHAnsi" w:eastAsiaTheme="minorHAnsi" w:hAnsiTheme="minorHAnsi"/>
                <w:sz w:val="18"/>
                <w:szCs w:val="18"/>
              </w:rPr>
              <w:t>lliams, Diehm, Davies, &amp; Stock, 2010</w:t>
            </w:r>
          </w:p>
        </w:tc>
      </w:tr>
    </w:tbl>
    <w:p w:rsidR="00A54B62" w:rsidRPr="00F935BF" w:rsidRDefault="00A54B62" w:rsidP="00A54B62">
      <w:pPr>
        <w:tabs>
          <w:tab w:val="left" w:pos="2594"/>
        </w:tabs>
        <w:ind w:left="0" w:firstLine="0"/>
        <w:rPr>
          <w:rFonts w:asciiTheme="minorHAnsi" w:hAnsiTheme="minorHAnsi"/>
          <w:sz w:val="24"/>
          <w:szCs w:val="24"/>
        </w:rPr>
      </w:pPr>
    </w:p>
    <w:p w:rsidR="00A54B62" w:rsidRPr="00F935BF" w:rsidRDefault="00A54B62" w:rsidP="00A54B62">
      <w:pPr>
        <w:tabs>
          <w:tab w:val="left" w:pos="2594"/>
        </w:tabs>
        <w:ind w:left="0" w:firstLine="0"/>
        <w:rPr>
          <w:rFonts w:asciiTheme="minorHAnsi" w:hAnsiTheme="minorHAnsi"/>
          <w:sz w:val="24"/>
          <w:szCs w:val="24"/>
        </w:rPr>
      </w:pPr>
    </w:p>
    <w:p w:rsidR="00B07856" w:rsidRPr="00F935BF" w:rsidRDefault="00B07856" w:rsidP="00A54B62">
      <w:pPr>
        <w:tabs>
          <w:tab w:val="left" w:pos="2594"/>
        </w:tabs>
        <w:ind w:left="0" w:firstLine="0"/>
        <w:rPr>
          <w:rFonts w:asciiTheme="minorHAnsi" w:hAnsiTheme="minorHAnsi"/>
          <w:sz w:val="24"/>
          <w:szCs w:val="24"/>
        </w:rPr>
      </w:pPr>
      <w:r w:rsidRPr="00F935BF">
        <w:rPr>
          <w:rFonts w:asciiTheme="minorHAnsi" w:hAnsiTheme="minorHAnsi"/>
          <w:sz w:val="24"/>
          <w:szCs w:val="24"/>
        </w:rPr>
        <w:t xml:space="preserve">Table 2 lists the evidence-based practices from Table 1 and a basic description of that practice. </w:t>
      </w:r>
    </w:p>
    <w:p w:rsidR="007E0618" w:rsidRPr="00F935BF" w:rsidRDefault="007E0618" w:rsidP="00A54B62">
      <w:pPr>
        <w:tabs>
          <w:tab w:val="left" w:pos="2594"/>
        </w:tabs>
        <w:ind w:left="0" w:firstLine="0"/>
        <w:rPr>
          <w:rFonts w:asciiTheme="minorHAnsi" w:hAnsiTheme="minorHAnsi"/>
          <w:sz w:val="24"/>
          <w:szCs w:val="24"/>
        </w:rPr>
      </w:pPr>
    </w:p>
    <w:tbl>
      <w:tblPr>
        <w:tblStyle w:val="TableGrid"/>
        <w:tblW w:w="4814" w:type="pct"/>
        <w:tblInd w:w="360" w:type="dxa"/>
        <w:tblLayout w:type="fixed"/>
        <w:tblLook w:val="04A0" w:firstRow="1" w:lastRow="0" w:firstColumn="1" w:lastColumn="0" w:noHBand="0" w:noVBand="1"/>
      </w:tblPr>
      <w:tblGrid>
        <w:gridCol w:w="4653"/>
        <w:gridCol w:w="4653"/>
      </w:tblGrid>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 xml:space="preserve">Backward Chaining </w:t>
            </w:r>
          </w:p>
          <w:p w:rsidR="007E0618" w:rsidRPr="00F935BF" w:rsidRDefault="007E0618" w:rsidP="007E0618">
            <w:pPr>
              <w:ind w:left="0" w:firstLine="0"/>
              <w:rPr>
                <w:rFonts w:asciiTheme="minorHAnsi" w:eastAsiaTheme="minorHAnsi" w:hAnsiTheme="minorHAnsi"/>
                <w:b/>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Backward chaining is defined by all behaviors identified in the task analysis initially completed by the trainer, except for the final behavior in the chain. When the learner performs the final behavior in the sequence at the predetermined criterion level, reinforcement is delivered and the next-to-last behavior is introduced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Check and Connect</w:t>
            </w:r>
          </w:p>
          <w:p w:rsidR="007E0618" w:rsidRPr="00F935BF" w:rsidRDefault="007E0618" w:rsidP="007E0618">
            <w:pPr>
              <w:ind w:left="0" w:firstLine="0"/>
              <w:rPr>
                <w:rFonts w:asciiTheme="minorHAnsi" w:eastAsiaTheme="minorHAnsi" w:hAnsiTheme="minorHAnsi"/>
                <w:b/>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i/>
                <w:color w:val="000000"/>
                <w:sz w:val="20"/>
                <w:szCs w:val="20"/>
              </w:rPr>
              <w:t>Check and Connect</w:t>
            </w:r>
            <w:r w:rsidRPr="00F935BF">
              <w:rPr>
                <w:rFonts w:asciiTheme="minorHAnsi" w:eastAsiaTheme="minorHAnsi" w:hAnsiTheme="minorHAnsi"/>
                <w:color w:val="000000"/>
                <w:sz w:val="20"/>
                <w:szCs w:val="20"/>
              </w:rPr>
              <w:t xml:space="preserve"> is a structured intervention model designed to assist schools and organizations in identifying students who are at risk for dropping out of school, then pairing those students with mentors who address each student’s individual needs to help them progress toward school completion (</w:t>
            </w:r>
            <w:r w:rsidRPr="00F935BF">
              <w:rPr>
                <w:rFonts w:asciiTheme="minorHAnsi" w:eastAsiaTheme="minorHAnsi" w:hAnsiTheme="minorHAnsi"/>
                <w:color w:val="0000FF"/>
                <w:sz w:val="20"/>
                <w:szCs w:val="20"/>
              </w:rPr>
              <w:t>http://checkandconnect.org/model/default.html</w:t>
            </w:r>
            <w:r w:rsidRPr="00F935BF">
              <w:rPr>
                <w:rFonts w:asciiTheme="minorHAnsi" w:eastAsiaTheme="minorHAnsi" w:hAnsiTheme="minorHAnsi"/>
                <w:color w:val="000000"/>
                <w:sz w:val="20"/>
                <w:szCs w:val="20"/>
              </w:rPr>
              <w:t>; Christenson et al., 2008).</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b/>
                <w:sz w:val="20"/>
                <w:szCs w:val="20"/>
              </w:rPr>
            </w:pPr>
            <w:r w:rsidRPr="00F935BF">
              <w:rPr>
                <w:rFonts w:asciiTheme="minorHAnsi" w:eastAsiaTheme="minorHAnsi" w:hAnsiTheme="minorHAnsi"/>
                <w:b/>
                <w:sz w:val="20"/>
                <w:szCs w:val="20"/>
              </w:rPr>
              <w:t>Community based instruction</w:t>
            </w:r>
          </w:p>
          <w:p w:rsidR="007E0618" w:rsidRPr="00F935BF" w:rsidRDefault="007E0618" w:rsidP="007E0618">
            <w:pPr>
              <w:rPr>
                <w:rFonts w:asciiTheme="minorHAnsi" w:eastAsiaTheme="minorHAnsi" w:hAnsiTheme="minorHAnsi"/>
                <w:b/>
                <w:sz w:val="20"/>
                <w:szCs w:val="20"/>
              </w:rPr>
            </w:pP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Community based instruction is teaching functional skills that take place in the community where target skills would naturally occur (Brown et al., 1983). </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p>
          <w:p w:rsidR="007E0618" w:rsidRPr="00F935BF" w:rsidRDefault="007E0618" w:rsidP="007E0618">
            <w:pPr>
              <w:ind w:left="0" w:firstLine="0"/>
              <w:rPr>
                <w:rFonts w:asciiTheme="minorHAnsi" w:eastAsiaTheme="minorHAnsi" w:hAnsiTheme="minorHAnsi"/>
                <w:color w:val="000000"/>
                <w:sz w:val="20"/>
                <w:szCs w:val="20"/>
              </w:rPr>
            </w:pPr>
          </w:p>
        </w:tc>
      </w:tr>
      <w:tr w:rsidR="007E0618" w:rsidRPr="00F935BF" w:rsidTr="007E0618">
        <w:trPr>
          <w:trHeight w:val="368"/>
        </w:trPr>
        <w:tc>
          <w:tcPr>
            <w:tcW w:w="2500" w:type="pct"/>
          </w:tcPr>
          <w:p w:rsidR="007E0618" w:rsidRPr="00F935BF" w:rsidRDefault="007E0618" w:rsidP="007E0618">
            <w:pPr>
              <w:rPr>
                <w:rFonts w:asciiTheme="minorHAnsi" w:eastAsiaTheme="minorHAnsi" w:hAnsiTheme="minorHAnsi"/>
                <w:b/>
                <w:sz w:val="20"/>
                <w:szCs w:val="20"/>
              </w:rPr>
            </w:pPr>
            <w:r w:rsidRPr="00F935BF">
              <w:rPr>
                <w:rFonts w:asciiTheme="minorHAnsi" w:eastAsiaTheme="minorHAnsi" w:hAnsiTheme="minorHAnsi"/>
                <w:b/>
                <w:sz w:val="20"/>
                <w:szCs w:val="20"/>
              </w:rPr>
              <w:t>Computer-assisted instruction</w:t>
            </w:r>
          </w:p>
          <w:p w:rsidR="007E0618" w:rsidRPr="00F935BF" w:rsidRDefault="007E0618" w:rsidP="007E0618">
            <w:pPr>
              <w:ind w:left="0" w:firstLine="0"/>
              <w:rPr>
                <w:rFonts w:asciiTheme="minorHAnsi" w:eastAsiaTheme="minorHAnsi" w:hAnsiTheme="minorHAnsi"/>
                <w:b/>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Computer-assisted instruction (CAI) has been defined as “the use of a computer and other associated technology with the intention of improving students’ skills, knowledge, or academic performance” (Okolo, Bahr, &amp; Rieth, 1993, p. 1) and is synonymous with terms such as computer-based instruction, computer-mediated instruction, interactive hyper-media instruction, and multimedia instruction. CAI offers an interactive format that can provide examples and feedback to students, while including multiple components, such as graphics, photographs, audio, text, and video (Hutcherson, Langone, Ayres, &amp; Clees, 2004).</w:t>
            </w:r>
          </w:p>
        </w:tc>
      </w:tr>
      <w:tr w:rsidR="007E0618" w:rsidRPr="00F935BF" w:rsidTr="007E0618">
        <w:trPr>
          <w:trHeight w:val="368"/>
        </w:trPr>
        <w:tc>
          <w:tcPr>
            <w:tcW w:w="2500" w:type="pct"/>
          </w:tcPr>
          <w:p w:rsidR="007E0618" w:rsidRPr="00F935BF" w:rsidRDefault="007E0618" w:rsidP="007E0618">
            <w:pPr>
              <w:rPr>
                <w:rFonts w:asciiTheme="minorHAnsi" w:eastAsiaTheme="minorHAnsi" w:hAnsiTheme="minorHAnsi"/>
                <w:b/>
                <w:sz w:val="20"/>
                <w:szCs w:val="20"/>
              </w:rPr>
            </w:pPr>
            <w:r w:rsidRPr="00F935BF">
              <w:rPr>
                <w:rFonts w:asciiTheme="minorHAnsi" w:eastAsiaTheme="minorHAnsi" w:hAnsiTheme="minorHAnsi"/>
                <w:b/>
                <w:sz w:val="20"/>
                <w:szCs w:val="20"/>
              </w:rPr>
              <w:t>Constant Time Delay</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 xml:space="preserve">Constant time delay is a variation of time delay, a prompting procedure that uses variations in the time intervals between presentation of the natural stimulus and the response prompt. Time delay transfers stimulus control from a prompt to the natural stimulus by delaying the presentation of the prompt following the presentation of the natural stimulus. Constant time delay is implemented by presenting several trials using a 0-second delay between the presentation of the natural stimulus and the response prompt. The trials that follow the simultaneous prompt condition apply a fixed time </w:t>
            </w:r>
            <w:r w:rsidRPr="00F935BF">
              <w:rPr>
                <w:rFonts w:asciiTheme="minorHAnsi" w:eastAsiaTheme="minorHAnsi" w:hAnsiTheme="minorHAnsi"/>
                <w:color w:val="000000"/>
                <w:sz w:val="20"/>
                <w:szCs w:val="20"/>
              </w:rPr>
              <w:lastRenderedPageBreak/>
              <w:t>delay (e.g., 3 seconds or 5 seconds;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sz w:val="20"/>
                <w:szCs w:val="20"/>
              </w:rPr>
              <w:lastRenderedPageBreak/>
              <w:t xml:space="preserve"> </w:t>
            </w:r>
            <w:r w:rsidRPr="00F935BF">
              <w:rPr>
                <w:rFonts w:asciiTheme="minorHAnsi" w:eastAsiaTheme="minorHAnsi" w:hAnsiTheme="minorHAnsi"/>
                <w:b/>
                <w:sz w:val="20"/>
                <w:szCs w:val="20"/>
              </w:rPr>
              <w:t xml:space="preserve">Extension of Career Planning Services </w:t>
            </w: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Services extended beyond graduation include any individualized services focused on postsecondary achievement provided after a student completes the secondary program. In the study used to establish the evidence base for extending services beyond high school to increase finance skills (Izzo, Cartledge, Miller, Growick, &amp; Rutkowski, 2000) services included:</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Vocational assessment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Agency contacts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IEP meetings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Vocational training</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Employability counseling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Job club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Job interview assistance </w:t>
            </w:r>
          </w:p>
          <w:p w:rsidR="007E0618" w:rsidRPr="00F935BF" w:rsidRDefault="007E0618" w:rsidP="007E061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Job development</w:t>
            </w:r>
          </w:p>
          <w:p w:rsidR="007E0618" w:rsidRPr="00F935BF" w:rsidRDefault="007E0618" w:rsidP="007E0618">
            <w:pPr>
              <w:pStyle w:val="ListParagraph"/>
              <w:numPr>
                <w:ilvl w:val="0"/>
                <w:numId w:val="18"/>
              </w:numPr>
              <w:rPr>
                <w:rFonts w:asciiTheme="minorHAnsi" w:eastAsiaTheme="minorHAnsi" w:hAnsiTheme="minorHAnsi"/>
                <w:sz w:val="20"/>
                <w:szCs w:val="20"/>
              </w:rPr>
            </w:pPr>
            <w:r w:rsidRPr="00F935BF">
              <w:rPr>
                <w:rFonts w:asciiTheme="minorHAnsi" w:eastAsiaTheme="minorHAnsi" w:hAnsiTheme="minorHAnsi"/>
                <w:color w:val="000000"/>
                <w:sz w:val="20"/>
                <w:szCs w:val="20"/>
              </w:rPr>
              <w:t>Job coaching</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Forward Chaining</w:t>
            </w:r>
            <w:r w:rsidRPr="00F935BF">
              <w:rPr>
                <w:rFonts w:asciiTheme="minorHAnsi" w:eastAsiaTheme="minorHAnsi" w:hAnsiTheme="minorHAnsi"/>
                <w:sz w:val="20"/>
                <w:szCs w:val="20"/>
              </w:rPr>
              <w:t xml:space="preserve"> </w:t>
            </w:r>
          </w:p>
          <w:p w:rsidR="007E0618" w:rsidRPr="00F935BF" w:rsidRDefault="007E0618" w:rsidP="007E0618">
            <w:pPr>
              <w:ind w:left="0" w:firstLine="0"/>
              <w:rPr>
                <w:rFonts w:asciiTheme="minorHAnsi" w:eastAsiaTheme="minorHAnsi" w:hAnsiTheme="minorHAnsi"/>
                <w:sz w:val="20"/>
                <w:szCs w:val="20"/>
              </w:rPr>
            </w:pP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Behaviors identified in a forward chaining task analysis are taught in their naturally occurring order. Reinforcement is delivered when the predetermined criterion for the first behavior in the sequence is achieved then the next step in the task analysis is taught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Least to Most Prompting</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A system of least-to-most prompts is a method used to transfer stimulus control from response prompts to the natural stimulus whenever the participant does not respond to the natural stimulus or makes an incorrect response. Least-to-most prompts begin with the participant having the opportunity to perform the response with the least amount of assistance on each trial. Greater degrees of assistance are provided with each successive trial without a correct response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Mnemonics</w:t>
            </w:r>
            <w:r w:rsidRPr="00F935BF">
              <w:rPr>
                <w:rFonts w:asciiTheme="minorHAnsi" w:eastAsiaTheme="minorHAnsi" w:hAnsiTheme="minorHAnsi"/>
                <w:sz w:val="20"/>
                <w:szCs w:val="20"/>
              </w:rPr>
              <w:t xml:space="preserve"> </w:t>
            </w:r>
          </w:p>
          <w:p w:rsidR="007E0618" w:rsidRPr="00F935BF" w:rsidRDefault="007E0618" w:rsidP="007E0618">
            <w:pPr>
              <w:pStyle w:val="ListParagraph"/>
              <w:ind w:left="36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Mnemonics is defined as using keywords that provide acoustic reconstructions of unfamiliar information such as symbolic pictures of abstract concepts or descriptive pictures of concrete information (Scruggs &amp; Mastropieri, 1989).</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Most to Least Prompting</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A system of most-to-least prompts is a method used to transfer stimulus control from response prompts to the natural stimulus whenever the participant does not respond to the natural stimulus or makes an incorrect response. Most-to-least prompting starts with physically guiding the participant through the performance sequence, then gradually reducing the amount of physical assistance provided as training progresses from session to session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One-More- Than Strategy</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 xml:space="preserve">The </w:t>
            </w:r>
            <w:r w:rsidRPr="00F935BF">
              <w:rPr>
                <w:rFonts w:asciiTheme="minorHAnsi" w:eastAsiaTheme="minorHAnsi" w:hAnsiTheme="minorHAnsi"/>
                <w:i/>
                <w:color w:val="000000"/>
                <w:sz w:val="20"/>
                <w:szCs w:val="20"/>
              </w:rPr>
              <w:t>One-More-Than Strategy</w:t>
            </w:r>
            <w:r w:rsidRPr="00F935BF">
              <w:rPr>
                <w:rFonts w:asciiTheme="minorHAnsi" w:eastAsiaTheme="minorHAnsi" w:hAnsiTheme="minorHAnsi"/>
                <w:color w:val="000000"/>
                <w:sz w:val="20"/>
                <w:szCs w:val="20"/>
              </w:rPr>
              <w:t xml:space="preserve"> a rounding up strategy that teaches individuals to give “one more” dollar </w:t>
            </w:r>
            <w:r w:rsidRPr="00F935BF">
              <w:rPr>
                <w:rFonts w:asciiTheme="minorHAnsi" w:eastAsiaTheme="minorHAnsi" w:hAnsiTheme="minorHAnsi"/>
                <w:color w:val="000000"/>
                <w:sz w:val="20"/>
                <w:szCs w:val="20"/>
              </w:rPr>
              <w:lastRenderedPageBreak/>
              <w:t>than the amount requested (e.g., if the requested amount  is $3.29, the individual gives $4.00 and waits to receive change; Denny &amp; Test, 1995). The strategy is also referred to as “next dollar”, “counting on”, or “dollar more” strategy.</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lastRenderedPageBreak/>
              <w:t>Progressive Time Delay</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 xml:space="preserve">Progressive time delay is a variation of time delay, a prompting procedure that uses variations in the time intervals between presentation of the natural stimulus and the response prompt. Time delay transfers stimulus control from a prompt to the natural stimulus by delaying the presentation of the prompt following the presentation of the natural stimulus. Progressive time delay is implemented by presenting a trial with a 0- second delay between the presentation of the natural stimulus and the response prompt and then gradually and systematically extending the time delay, often in one second intervals (e.g., 0 sec to 2 sec to 3 sec; Cooper, Heron, &amp; Heward, 2007). Collins &amp; Stinson, 1994-1995; </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bCs/>
                <w:sz w:val="20"/>
                <w:szCs w:val="20"/>
              </w:rPr>
              <w:t xml:space="preserve">Response Prompting </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Response prompting is defined as stimuli that later functions as extra cues and reminders for desired behavior. Prompts can be visual, auditory, textual, or symbolic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Self-Management</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Defining characteristics of self-management interventions include “methods used by students to manage, monitor, record, and/or assess their behavior or academic achievement” (Reid, Trout, &amp; Schartz, 2005, p. 362).</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Self-management has also been called: self-monitoring (n=5 studies), self-evaluation (n= 2 studies), self-instruction (n=2 studies), goal setting (n= 1 study), strategy instruction (n= 1 study). In addition, components can be combined (n=7 studies).</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p>
          <w:p w:rsidR="007E0618" w:rsidRPr="00F935BF" w:rsidRDefault="007E0618" w:rsidP="007E06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“Self-monitoring is a multi-stage process of observing and recording one’s behavior” (Mooney et al., 2005, p. 204). </w:t>
            </w:r>
          </w:p>
          <w:p w:rsidR="007E0618" w:rsidRPr="00F935BF" w:rsidRDefault="007E0618" w:rsidP="007E06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“Self-evaluation is a process wherein a student compares her/his performance to a previously established criterion set by student or a teacher and is awarded reinforcement based on achieving the criterion” (Mooney et al., 2005, p. 207).</w:t>
            </w:r>
          </w:p>
          <w:p w:rsidR="007E0618" w:rsidRPr="00F935BF" w:rsidRDefault="007E0618" w:rsidP="007E061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“Self-instruction refers to techniques that involve the use of self-statements to direct behavior” (Mooney et al., 2005, p. 204).</w:t>
            </w:r>
          </w:p>
          <w:p w:rsidR="007E0618" w:rsidRPr="00F935BF" w:rsidRDefault="007E0618" w:rsidP="007E0618">
            <w:pPr>
              <w:pStyle w:val="ListParagraph"/>
              <w:numPr>
                <w:ilvl w:val="0"/>
                <w:numId w:val="2"/>
              </w:numPr>
              <w:rPr>
                <w:rFonts w:asciiTheme="minorHAnsi" w:eastAsiaTheme="minorHAnsi" w:hAnsiTheme="minorHAnsi"/>
                <w:sz w:val="20"/>
                <w:szCs w:val="20"/>
              </w:rPr>
            </w:pPr>
            <w:r w:rsidRPr="00F935BF">
              <w:rPr>
                <w:rFonts w:asciiTheme="minorHAnsi" w:eastAsiaTheme="minorHAnsi" w:hAnsiTheme="minorHAnsi"/>
                <w:color w:val="000000"/>
                <w:sz w:val="20"/>
                <w:szCs w:val="20"/>
              </w:rPr>
              <w:t xml:space="preserve">“Goal setting generally refers to a process of a student self-selecting behavioral targets, which serve to structure student effort, provide information on progress, and motivate </w:t>
            </w:r>
            <w:r w:rsidRPr="00F935BF">
              <w:rPr>
                <w:rFonts w:asciiTheme="minorHAnsi" w:eastAsiaTheme="minorHAnsi" w:hAnsiTheme="minorHAnsi"/>
                <w:color w:val="000000"/>
                <w:sz w:val="20"/>
                <w:szCs w:val="20"/>
              </w:rPr>
              <w:lastRenderedPageBreak/>
              <w:t>performance” (Mooney et al., 2005, p. 204). “Strategy instruction refers to teaching students a series of steps to follow independently in solving a problem or achieving and outcome” (Mooney et al., 2005)</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lastRenderedPageBreak/>
              <w:t>Self-Monitoring</w:t>
            </w:r>
          </w:p>
          <w:p w:rsidR="007E0618" w:rsidRPr="00F935BF" w:rsidRDefault="007E0618" w:rsidP="007E0618">
            <w:pPr>
              <w:ind w:left="0" w:firstLine="0"/>
              <w:rPr>
                <w:rFonts w:asciiTheme="minorHAnsi" w:eastAsiaTheme="minorHAnsi" w:hAnsiTheme="minorHAnsi"/>
                <w:sz w:val="20"/>
                <w:szCs w:val="20"/>
              </w:rPr>
            </w:pP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Self-monitoring is defined as a procedure whereby a person observes his behavior systematically and records the occurrence or nonoccurrence of a target behavior (Cooper, Heron, &amp; Heward, 2007). The procedure is also called self-recording and self-observation.</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sz w:val="20"/>
                <w:szCs w:val="20"/>
              </w:rPr>
              <w:t xml:space="preserve"> </w:t>
            </w:r>
            <w:r w:rsidRPr="00F935BF">
              <w:rPr>
                <w:rFonts w:asciiTheme="minorHAnsi" w:eastAsiaTheme="minorHAnsi" w:hAnsiTheme="minorHAnsi"/>
                <w:b/>
                <w:sz w:val="20"/>
                <w:szCs w:val="20"/>
              </w:rPr>
              <w:t>Simulations</w:t>
            </w:r>
          </w:p>
          <w:p w:rsidR="007E0618" w:rsidRPr="00F935BF" w:rsidRDefault="007E0618" w:rsidP="007E0618">
            <w:pPr>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Simulation is defined as using materials and situations in the classroom that approximate the natural stimulus conditions and response topographies associated with the performance of functional skills in community settings (Bates et al., 2001).</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bCs/>
                <w:sz w:val="20"/>
                <w:szCs w:val="20"/>
              </w:rPr>
            </w:pPr>
            <w:r w:rsidRPr="00F935BF">
              <w:rPr>
                <w:rFonts w:asciiTheme="minorHAnsi" w:eastAsiaTheme="minorHAnsi" w:hAnsiTheme="minorHAnsi"/>
                <w:b/>
                <w:bCs/>
                <w:sz w:val="20"/>
                <w:szCs w:val="20"/>
              </w:rPr>
              <w:t xml:space="preserve">Simultaneous Prompting </w:t>
            </w:r>
          </w:p>
        </w:tc>
        <w:tc>
          <w:tcPr>
            <w:tcW w:w="2500" w:type="pct"/>
          </w:tcPr>
          <w:p w:rsidR="007E0618" w:rsidRPr="00F935BF" w:rsidRDefault="007E0618" w:rsidP="007E0618">
            <w:pPr>
              <w:spacing w:line="276" w:lineRule="auto"/>
              <w:ind w:left="51" w:firstLine="0"/>
              <w:rPr>
                <w:rFonts w:asciiTheme="minorHAnsi" w:eastAsiaTheme="minorHAnsi" w:hAnsiTheme="minorHAnsi"/>
                <w:color w:val="000000"/>
                <w:sz w:val="20"/>
                <w:szCs w:val="20"/>
              </w:rPr>
            </w:pPr>
            <w:r w:rsidRPr="00F935BF">
              <w:rPr>
                <w:rFonts w:asciiTheme="minorHAnsi" w:hAnsiTheme="minorHAnsi" w:cs="Tahoma"/>
                <w:sz w:val="20"/>
                <w:szCs w:val="20"/>
              </w:rPr>
              <w:t>Response prompting has been defined as “a stimuli that later functions as extra cues and reminders for desired behavior.. Can be visual, auditory, textual, or symbolic (Cooper, Heron, &amp; Heward, 2007). Simultaneous prompting is a response prompting strategy that results in near errorless learning. Simultaneous prompting is a “systematic form of the antecedent prompt and test procedure” (Wolery et al., 1992). Simultaneous prompting involves the “presentation of a task direction followed immediately by the presentation of a controlling prompt (i.e., a prompt that ensures a correct response).” Once the instructional sessions is conducted, daily probe sessions are conducted immediately prior to instructional sessions on subsequent days so the instructor can determine when stimulus control, or acquisition of the target skill, has occurred (Morse &amp; Schuster, 2004).</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Total Task Chaining</w:t>
            </w:r>
            <w:r w:rsidRPr="00F935BF">
              <w:rPr>
                <w:rFonts w:asciiTheme="minorHAnsi" w:eastAsiaTheme="minorHAnsi" w:hAnsiTheme="minorHAnsi"/>
                <w:sz w:val="20"/>
                <w:szCs w:val="20"/>
              </w:rPr>
              <w:t xml:space="preserve"> </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Total task chaining is defined as a variation of forward chaining in which the learner receives training on each step in the task analysis during each session (Cooper, Heron, &amp; Heward, 2007). Total task chaining is also sometimes referred to as concurrent training (McDonnell &amp; Laughlin, 1989).</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Video Modeling</w:t>
            </w:r>
            <w:r w:rsidRPr="00F935BF">
              <w:rPr>
                <w:rFonts w:asciiTheme="minorHAnsi" w:eastAsiaTheme="minorHAnsi" w:hAnsiTheme="minorHAnsi"/>
                <w:sz w:val="20"/>
                <w:szCs w:val="20"/>
              </w:rPr>
              <w:t xml:space="preserve"> </w:t>
            </w:r>
          </w:p>
          <w:p w:rsidR="007E0618" w:rsidRPr="00F935BF" w:rsidRDefault="007E0618" w:rsidP="007E0618">
            <w:pPr>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Video modeling is a form of video response prompting. Response prompting is defined as a stimuli that later functions as extra cues and reminders for desired behavior (Cooper, Heron, &amp; Heward, 2007).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 xml:space="preserve">Published Curricula </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Published curricula to teach student involvement in the IEP meeting includes the following curricula: </w:t>
            </w:r>
          </w:p>
          <w:p w:rsidR="007E0618" w:rsidRPr="00F935BF" w:rsidRDefault="007E0618" w:rsidP="007E06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The Self-Directed IEP (Martin et al., 2006) </w:t>
            </w:r>
          </w:p>
          <w:p w:rsidR="007E0618" w:rsidRPr="00F935BF" w:rsidRDefault="007E0618" w:rsidP="007E06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Self-Advocacy Strategy (Test and Neale, 2004)</w:t>
            </w:r>
          </w:p>
          <w:p w:rsidR="007E0618" w:rsidRPr="00F935BF" w:rsidRDefault="007E0618" w:rsidP="007E06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Whose Future is it Anyway? (Lee et al., 2010) </w:t>
            </w:r>
          </w:p>
          <w:p w:rsidR="007E0618" w:rsidRPr="00F935BF" w:rsidRDefault="007E0618" w:rsidP="007E06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lastRenderedPageBreak/>
              <w:t>An adapted version of Personal Futures Planning model (Miner and Bates, 1997)</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lastRenderedPageBreak/>
              <w:t>Self-Advocacy Strategy</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The Self-Advocacy Strategy (SAS) is a motivation and self-determination strategy designed to prepare students to participate in education or transition planning conferences. The strategy consists of 5 steps which are taught over a series of seven acquisition and generalization stages. The five steps are presented using the mnemonic “I PLAN” to help cue students to remember the steps for the strategy.</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I PLAN represents:</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144"/>
              <w:rPr>
                <w:rFonts w:asciiTheme="minorHAnsi" w:eastAsiaTheme="minorHAnsi" w:hAnsiTheme="minorHAnsi"/>
                <w:color w:val="000000"/>
                <w:sz w:val="20"/>
                <w:szCs w:val="20"/>
              </w:rPr>
            </w:pPr>
            <w:r w:rsidRPr="00F935BF">
              <w:rPr>
                <w:rFonts w:asciiTheme="minorHAnsi" w:eastAsiaTheme="minorHAnsi" w:hAnsiTheme="minorHAnsi"/>
                <w:b/>
                <w:color w:val="000000"/>
                <w:sz w:val="20"/>
                <w:szCs w:val="20"/>
              </w:rPr>
              <w:t>I</w:t>
            </w:r>
            <w:r w:rsidRPr="00F935BF">
              <w:rPr>
                <w:rFonts w:asciiTheme="minorHAnsi" w:eastAsiaTheme="minorHAnsi" w:hAnsiTheme="minorHAnsi"/>
                <w:color w:val="000000"/>
                <w:sz w:val="20"/>
                <w:szCs w:val="20"/>
              </w:rPr>
              <w:t xml:space="preserve"> - Inventory completed by students listing their strengths, weaknesses, learning needs, goals, and choices to prepare them for their upcoming IEP conference </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144"/>
              <w:rPr>
                <w:rFonts w:asciiTheme="minorHAnsi" w:eastAsiaTheme="minorHAnsi" w:hAnsiTheme="minorHAnsi"/>
                <w:color w:val="000000"/>
                <w:sz w:val="20"/>
                <w:szCs w:val="20"/>
              </w:rPr>
            </w:pPr>
            <w:r w:rsidRPr="00F935BF">
              <w:rPr>
                <w:rFonts w:asciiTheme="minorHAnsi" w:eastAsiaTheme="minorHAnsi" w:hAnsiTheme="minorHAnsi"/>
                <w:b/>
                <w:color w:val="000000"/>
                <w:sz w:val="20"/>
                <w:szCs w:val="20"/>
              </w:rPr>
              <w:t>P</w:t>
            </w:r>
            <w:r w:rsidRPr="00F935BF">
              <w:rPr>
                <w:rFonts w:asciiTheme="minorHAnsi" w:eastAsiaTheme="minorHAnsi" w:hAnsiTheme="minorHAnsi"/>
                <w:color w:val="000000"/>
                <w:sz w:val="20"/>
                <w:szCs w:val="20"/>
              </w:rPr>
              <w:t xml:space="preserve"> - Provide your inventory involves identifying appropriate time for individual to share information during the conference, speaking clearly and completely, and referring to inventory as needed</w:t>
            </w:r>
          </w:p>
          <w:p w:rsidR="007E0618" w:rsidRPr="00F935BF" w:rsidRDefault="007E0618" w:rsidP="007E0618">
            <w:pPr>
              <w:ind w:left="288" w:hanging="144"/>
              <w:rPr>
                <w:rFonts w:asciiTheme="minorHAnsi" w:eastAsiaTheme="minorHAnsi" w:hAnsiTheme="minorHAnsi"/>
                <w:color w:val="000000"/>
                <w:sz w:val="20"/>
                <w:szCs w:val="20"/>
              </w:rPr>
            </w:pPr>
            <w:r w:rsidRPr="00F935BF">
              <w:rPr>
                <w:rFonts w:asciiTheme="minorHAnsi" w:eastAsiaTheme="minorHAnsi" w:hAnsiTheme="minorHAnsi"/>
                <w:b/>
                <w:color w:val="000000"/>
                <w:sz w:val="20"/>
                <w:szCs w:val="20"/>
              </w:rPr>
              <w:t>L</w:t>
            </w:r>
            <w:r w:rsidRPr="00F935BF">
              <w:rPr>
                <w:rFonts w:asciiTheme="minorHAnsi" w:eastAsiaTheme="minorHAnsi" w:hAnsiTheme="minorHAnsi"/>
                <w:color w:val="000000"/>
                <w:sz w:val="20"/>
                <w:szCs w:val="20"/>
              </w:rPr>
              <w:t xml:space="preserve"> - Listen &amp; Respond addresses being an active listener and responding to statements made by others in a positive manner</w:t>
            </w:r>
          </w:p>
          <w:p w:rsidR="007E0618" w:rsidRPr="00F935BF" w:rsidRDefault="007E0618" w:rsidP="007E0618">
            <w:pPr>
              <w:ind w:left="288" w:hanging="144"/>
              <w:rPr>
                <w:rFonts w:asciiTheme="minorHAnsi" w:eastAsiaTheme="minorHAnsi" w:hAnsiTheme="minorHAnsi"/>
                <w:color w:val="000000"/>
                <w:sz w:val="20"/>
                <w:szCs w:val="20"/>
              </w:rPr>
            </w:pPr>
            <w:r w:rsidRPr="00F935BF">
              <w:rPr>
                <w:rFonts w:asciiTheme="minorHAnsi" w:eastAsiaTheme="minorHAnsi" w:hAnsiTheme="minorHAnsi"/>
                <w:b/>
                <w:color w:val="000000"/>
                <w:sz w:val="20"/>
                <w:szCs w:val="20"/>
              </w:rPr>
              <w:t>A</w:t>
            </w:r>
            <w:r w:rsidRPr="00F935BF">
              <w:rPr>
                <w:rFonts w:asciiTheme="minorHAnsi" w:eastAsiaTheme="minorHAnsi" w:hAnsiTheme="minorHAnsi"/>
                <w:color w:val="000000"/>
                <w:sz w:val="20"/>
                <w:szCs w:val="20"/>
              </w:rPr>
              <w:t xml:space="preserve"> - Ask questions focuses on asking appropriate questions to gather needed information </w:t>
            </w:r>
          </w:p>
          <w:p w:rsidR="007E0618" w:rsidRPr="00F935BF" w:rsidRDefault="007E0618" w:rsidP="007E0618">
            <w:pPr>
              <w:ind w:left="288" w:hanging="144"/>
              <w:rPr>
                <w:rFonts w:asciiTheme="minorHAnsi" w:eastAsiaTheme="minorHAnsi" w:hAnsiTheme="minorHAnsi"/>
                <w:sz w:val="20"/>
                <w:szCs w:val="20"/>
              </w:rPr>
            </w:pPr>
            <w:r w:rsidRPr="00F935BF">
              <w:rPr>
                <w:rFonts w:asciiTheme="minorHAnsi" w:eastAsiaTheme="minorHAnsi" w:hAnsiTheme="minorHAnsi"/>
                <w:b/>
                <w:color w:val="000000"/>
                <w:sz w:val="20"/>
                <w:szCs w:val="20"/>
              </w:rPr>
              <w:t>N</w:t>
            </w:r>
            <w:r w:rsidRPr="00F935BF">
              <w:rPr>
                <w:rFonts w:asciiTheme="minorHAnsi" w:eastAsiaTheme="minorHAnsi" w:hAnsiTheme="minorHAnsi"/>
                <w:color w:val="000000"/>
                <w:sz w:val="20"/>
                <w:szCs w:val="20"/>
              </w:rPr>
              <w:t xml:space="preserve"> - Name your goals to communicate goals and ideas on actions to be taken</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Self-Determined Learning Model of Instruction</w:t>
            </w:r>
            <w:r w:rsidRPr="00F935BF">
              <w:rPr>
                <w:rFonts w:asciiTheme="minorHAnsi" w:eastAsiaTheme="minorHAnsi" w:hAnsiTheme="minorHAnsi"/>
                <w:sz w:val="20"/>
                <w:szCs w:val="20"/>
              </w:rPr>
              <w:t xml:space="preserve"> </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The Self-Determined Learning Model of Instruction (SDLMI) is a curriculum that teaches students to engage in self-directed and self-regulated learning. The curriculum is comprised of three units:</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1. Set a goal </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2. Take action </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3. Adjust goal or plan</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Students are required to solve the problems through a series of four steps: </w:t>
            </w:r>
          </w:p>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1. Identify the problem</w:t>
            </w:r>
          </w:p>
          <w:p w:rsidR="007E0618" w:rsidRPr="00F935BF" w:rsidRDefault="007E0618" w:rsidP="007E0618">
            <w:pPr>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2. Identify potential solutions to the problem </w:t>
            </w:r>
          </w:p>
          <w:p w:rsidR="007E0618" w:rsidRPr="00F935BF" w:rsidRDefault="007E0618" w:rsidP="007E0618">
            <w:pPr>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3. Identify barriers to solving the problem </w:t>
            </w:r>
          </w:p>
          <w:p w:rsidR="007E0618" w:rsidRPr="00F935BF" w:rsidRDefault="007E0618" w:rsidP="007E0618">
            <w:pPr>
              <w:ind w:left="56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4. Identify consequences of each solution</w:t>
            </w:r>
          </w:p>
          <w:p w:rsidR="007E0618" w:rsidRPr="00F935BF" w:rsidRDefault="007E0618" w:rsidP="007E0618">
            <w:pPr>
              <w:ind w:left="0" w:firstLine="0"/>
              <w:rPr>
                <w:rFonts w:asciiTheme="minorHAnsi" w:eastAsiaTheme="minorHAnsi" w:hAnsiTheme="minorHAnsi"/>
                <w:color w:val="000000"/>
                <w:sz w:val="20"/>
                <w:szCs w:val="20"/>
              </w:rPr>
            </w:pPr>
          </w:p>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Each question is linked to a set of Teacher Objectives that describe the student outcomes for each question. Each phase includes a list of Educational Supports that teachers can implement to enable students to engage in self-directed learning.</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bCs/>
                <w:sz w:val="20"/>
                <w:szCs w:val="20"/>
              </w:rPr>
              <w:t xml:space="preserve">Self-Directed IEP </w:t>
            </w:r>
          </w:p>
          <w:p w:rsidR="007E0618" w:rsidRPr="00F935BF" w:rsidRDefault="007E0618" w:rsidP="007E0618">
            <w:pPr>
              <w:ind w:left="0" w:firstLine="0"/>
              <w:rPr>
                <w:rFonts w:asciiTheme="minorHAnsi" w:eastAsiaTheme="minorHAnsi" w:hAnsiTheme="minorHAnsi"/>
                <w:bCs/>
                <w:sz w:val="20"/>
                <w:szCs w:val="20"/>
              </w:rPr>
            </w:pP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The Self-Directed IEP (SD IEP) lesson package is divided into four instructional units, including students leading meeting, reporting interests, reporting skills, and reporting options. It is a </w:t>
            </w:r>
            <w:r w:rsidRPr="00F935BF">
              <w:rPr>
                <w:rFonts w:asciiTheme="minorHAnsi" w:eastAsiaTheme="minorHAnsi" w:hAnsiTheme="minorHAnsi"/>
                <w:color w:val="000000"/>
                <w:sz w:val="20"/>
                <w:szCs w:val="20"/>
              </w:rPr>
              <w:lastRenderedPageBreak/>
              <w:t>multimedia package designed to teach students the skills needed to manage their own IEP meetings. It includes a teacher manual, a student workbook, and two videos that present 11 steps necessary for students to lead their own IEP meetings:</w:t>
            </w:r>
          </w:p>
          <w:p w:rsidR="007E0618" w:rsidRPr="00F935BF" w:rsidRDefault="007E0618" w:rsidP="007E0618">
            <w:pPr>
              <w:pStyle w:val="ListParagraph"/>
              <w:numPr>
                <w:ilvl w:val="0"/>
                <w:numId w:val="48"/>
              </w:numPr>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Begin meeting by stating purpose </w:t>
            </w:r>
          </w:p>
          <w:p w:rsidR="007E0618" w:rsidRPr="00F935BF" w:rsidRDefault="007E0618" w:rsidP="007E0618">
            <w:pPr>
              <w:pStyle w:val="ListParagraph"/>
              <w:numPr>
                <w:ilvl w:val="0"/>
                <w:numId w:val="48"/>
              </w:numPr>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Introduce everyone </w:t>
            </w:r>
          </w:p>
          <w:p w:rsidR="007E0618" w:rsidRPr="00F935BF" w:rsidRDefault="007E0618" w:rsidP="007E0618">
            <w:pPr>
              <w:pStyle w:val="ListParagraph"/>
              <w:numPr>
                <w:ilvl w:val="0"/>
                <w:numId w:val="48"/>
              </w:numPr>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Review past goals and performance </w:t>
            </w:r>
          </w:p>
          <w:p w:rsidR="007E0618" w:rsidRPr="00F935BF" w:rsidRDefault="007E0618" w:rsidP="007E0618">
            <w:pPr>
              <w:pStyle w:val="ListParagraph"/>
              <w:numPr>
                <w:ilvl w:val="0"/>
                <w:numId w:val="48"/>
              </w:numPr>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Ask for others’ feedback</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State your school &amp; transition goals</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Ask questions</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Deal with differences of opinion</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State the support you’ll need</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Summarize your goals</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Close meeting</w:t>
            </w:r>
          </w:p>
          <w:p w:rsidR="007E0618" w:rsidRPr="00F935BF" w:rsidRDefault="007E0618" w:rsidP="007E0618">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1"/>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Work on IEP goals all year</w:t>
            </w:r>
          </w:p>
          <w:p w:rsidR="007E0618" w:rsidRPr="00F935BF" w:rsidRDefault="007E0618" w:rsidP="007E0618">
            <w:pPr>
              <w:ind w:left="0" w:firstLine="0"/>
              <w:rPr>
                <w:rFonts w:asciiTheme="minorHAnsi" w:eastAsiaTheme="minorHAnsi" w:hAnsiTheme="minorHAnsi"/>
                <w:color w:val="000000"/>
                <w:sz w:val="20"/>
                <w:szCs w:val="20"/>
              </w:rPr>
            </w:pPr>
          </w:p>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Instruction follows a model-lead-test format.</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lastRenderedPageBreak/>
              <w:t>Whose Future Is It</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i/>
                <w:color w:val="000000"/>
                <w:sz w:val="20"/>
                <w:szCs w:val="20"/>
              </w:rPr>
              <w:t>“Whose Future is it Anyway?”</w:t>
            </w:r>
            <w:r w:rsidRPr="00F935BF">
              <w:rPr>
                <w:rFonts w:asciiTheme="minorHAnsi" w:eastAsiaTheme="minorHAnsi" w:hAnsiTheme="minorHAnsi"/>
                <w:color w:val="000000"/>
                <w:sz w:val="20"/>
                <w:szCs w:val="20"/>
              </w:rPr>
              <w:t xml:space="preserve"> (WFA) is a student-directed transition planning curriculum designed to help students learn to be more involved in the IEP process. The curriculum is comprised of six sections and 36 sessions related to: </w:t>
            </w:r>
          </w:p>
          <w:p w:rsidR="007E0618" w:rsidRPr="00F935BF" w:rsidRDefault="007E0618" w:rsidP="007E0618">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Having self-awareness and disability awareness</w:t>
            </w:r>
          </w:p>
          <w:p w:rsidR="007E0618" w:rsidRPr="00F935BF" w:rsidRDefault="007E0618" w:rsidP="007E0618">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Decision making about transition-related outcomes Identifying and securing community resources to support transition services </w:t>
            </w:r>
          </w:p>
          <w:p w:rsidR="007E0618" w:rsidRPr="00F935BF" w:rsidRDefault="007E0618" w:rsidP="007E0618">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Writing and evaluating goals and objectives </w:t>
            </w:r>
          </w:p>
          <w:p w:rsidR="007E0618" w:rsidRPr="00F935BF" w:rsidRDefault="007E0618" w:rsidP="007E0618">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 xml:space="preserve">Communicating effectively in small groups </w:t>
            </w:r>
          </w:p>
          <w:p w:rsidR="007E0618" w:rsidRPr="00F935BF" w:rsidRDefault="007E0618" w:rsidP="007E0618">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Developing skills to become and effective team member, leader, or self-advocate</w:t>
            </w:r>
          </w:p>
          <w:p w:rsidR="007E0618" w:rsidRPr="00F935BF" w:rsidRDefault="007E0618" w:rsidP="007E0618">
            <w:pPr>
              <w:ind w:left="0" w:firstLine="0"/>
              <w:rPr>
                <w:rFonts w:asciiTheme="minorHAnsi" w:eastAsiaTheme="minorHAnsi" w:hAnsiTheme="minorHAnsi"/>
                <w:sz w:val="20"/>
                <w:szCs w:val="20"/>
              </w:rPr>
            </w:pP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Peer Assisted Instruction</w:t>
            </w:r>
            <w:r w:rsidRPr="00F935BF">
              <w:rPr>
                <w:rFonts w:asciiTheme="minorHAnsi" w:eastAsiaTheme="minorHAnsi" w:hAnsiTheme="minorHAnsi"/>
                <w:sz w:val="20"/>
                <w:szCs w:val="20"/>
              </w:rPr>
              <w:t xml:space="preserve"> </w:t>
            </w:r>
          </w:p>
          <w:p w:rsidR="007E0618" w:rsidRPr="00F935BF" w:rsidRDefault="007E0618" w:rsidP="007E0618">
            <w:pPr>
              <w:ind w:left="0" w:firstLine="0"/>
              <w:rPr>
                <w:rFonts w:asciiTheme="minorHAnsi" w:eastAsiaTheme="minorHAnsi" w:hAnsiTheme="minorHAnsi"/>
                <w:sz w:val="20"/>
                <w:szCs w:val="20"/>
              </w:rPr>
            </w:pP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Teaching using peer assistance may include the following: Peer tutoring as the delivery of instruction by another student, either older or the same age as the tutee (Scruggs et al., 1985). Cooperative learning when groups of students of different ability, sex, or ethnicity work together to achieve mutual goals (Tateyama-Sniezek, 1990). Peer instruction when students are given specific roles to assist other students in completing an activity or teaching of a lesson (Hughes, Carter, Hughes, Bradford, &amp; Copeland, 2002).</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t>Visual Displays</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heme="minorHAnsi" w:eastAsiaTheme="minorHAnsi" w:hAnsiTheme="minorHAnsi"/>
                <w:color w:val="000000"/>
                <w:sz w:val="20"/>
                <w:szCs w:val="20"/>
              </w:rPr>
            </w:pPr>
            <w:r w:rsidRPr="00F935BF">
              <w:rPr>
                <w:rFonts w:asciiTheme="minorHAnsi" w:eastAsiaTheme="minorHAnsi" w:hAnsiTheme="minorHAnsi"/>
                <w:color w:val="000000"/>
                <w:sz w:val="20"/>
                <w:szCs w:val="20"/>
              </w:rPr>
              <w:t>Visual displays are tools used to represent the complexity of the mental and physical world in which we live (Hyerle, 1996, 2000).</w:t>
            </w:r>
          </w:p>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Visual displays are used in several ways including: graphic organizers, cognitive organizers, cognitive maps, structured overviews, tree diagrams, concept maps, and Thinking Maps (Boyle, 2000; Horton, Lovitt, &amp; Bergerud, 1990; Hyerle, 1996, 2000).</w:t>
            </w:r>
          </w:p>
        </w:tc>
      </w:tr>
      <w:tr w:rsidR="007E0618" w:rsidRPr="00F935BF" w:rsidTr="007E0618">
        <w:trPr>
          <w:trHeight w:val="368"/>
        </w:trPr>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b/>
                <w:sz w:val="20"/>
                <w:szCs w:val="20"/>
              </w:rPr>
              <w:lastRenderedPageBreak/>
              <w:t>Training Modules</w:t>
            </w:r>
            <w:r w:rsidRPr="00F935BF">
              <w:rPr>
                <w:rFonts w:asciiTheme="minorHAnsi" w:eastAsiaTheme="minorHAnsi" w:hAnsiTheme="minorHAnsi"/>
                <w:sz w:val="20"/>
                <w:szCs w:val="20"/>
              </w:rPr>
              <w:t xml:space="preserve"> </w:t>
            </w:r>
          </w:p>
        </w:tc>
        <w:tc>
          <w:tcPr>
            <w:tcW w:w="2500" w:type="pct"/>
          </w:tcPr>
          <w:p w:rsidR="007E0618" w:rsidRPr="00F935BF" w:rsidRDefault="007E0618" w:rsidP="007E0618">
            <w:pPr>
              <w:ind w:left="0" w:firstLine="0"/>
              <w:rPr>
                <w:rFonts w:asciiTheme="minorHAnsi" w:eastAsiaTheme="minorHAnsi" w:hAnsiTheme="minorHAnsi"/>
                <w:sz w:val="20"/>
                <w:szCs w:val="20"/>
              </w:rPr>
            </w:pPr>
            <w:r w:rsidRPr="00F935BF">
              <w:rPr>
                <w:rFonts w:asciiTheme="minorHAnsi" w:eastAsiaTheme="minorHAnsi" w:hAnsiTheme="minorHAnsi"/>
                <w:color w:val="000000"/>
                <w:sz w:val="20"/>
                <w:szCs w:val="20"/>
              </w:rPr>
              <w:t xml:space="preserve">A training module is a unit of education or instruction with a relatively low student-to- teacher ratio, in which a single topic or a small section of a broad topic is studied for a given period of time. </w:t>
            </w:r>
            <w:r w:rsidRPr="00F935BF">
              <w:rPr>
                <w:rFonts w:asciiTheme="minorHAnsi" w:eastAsiaTheme="minorHAnsi" w:hAnsiTheme="minorHAnsi"/>
                <w:color w:val="0000FF"/>
                <w:sz w:val="20"/>
                <w:szCs w:val="20"/>
              </w:rPr>
              <w:t>http://thefreedictionary.com/module</w:t>
            </w:r>
            <w:r w:rsidRPr="00F935BF">
              <w:rPr>
                <w:rFonts w:asciiTheme="minorHAnsi" w:eastAsiaTheme="minorHAnsi" w:hAnsiTheme="minorHAnsi"/>
                <w:color w:val="000000"/>
                <w:sz w:val="20"/>
                <w:szCs w:val="20"/>
              </w:rPr>
              <w:t>.</w:t>
            </w:r>
          </w:p>
        </w:tc>
      </w:tr>
    </w:tbl>
    <w:p w:rsidR="00A54B62" w:rsidRPr="00F935BF" w:rsidRDefault="00A54B62" w:rsidP="00A2612C">
      <w:pPr>
        <w:tabs>
          <w:tab w:val="left" w:pos="2594"/>
        </w:tabs>
        <w:rPr>
          <w:rFonts w:asciiTheme="minorHAnsi" w:hAnsiTheme="minorHAnsi"/>
          <w:sz w:val="24"/>
          <w:szCs w:val="24"/>
        </w:rPr>
      </w:pPr>
    </w:p>
    <w:p w:rsidR="00B07856" w:rsidRPr="00F935BF" w:rsidRDefault="00B07856" w:rsidP="00A2612C">
      <w:pPr>
        <w:tabs>
          <w:tab w:val="left" w:pos="2594"/>
        </w:tabs>
        <w:rPr>
          <w:rFonts w:asciiTheme="minorHAnsi" w:hAnsiTheme="minorHAnsi"/>
          <w:sz w:val="24"/>
          <w:szCs w:val="24"/>
        </w:rPr>
      </w:pPr>
    </w:p>
    <w:p w:rsidR="00A2612C" w:rsidRPr="00F935BF" w:rsidRDefault="00A2612C" w:rsidP="00A2612C">
      <w:pPr>
        <w:tabs>
          <w:tab w:val="left" w:pos="2594"/>
        </w:tabs>
        <w:rPr>
          <w:rFonts w:asciiTheme="minorHAnsi" w:hAnsiTheme="minorHAnsi"/>
          <w:sz w:val="24"/>
          <w:szCs w:val="24"/>
        </w:rPr>
      </w:pPr>
      <w:r w:rsidRPr="00F935BF">
        <w:rPr>
          <w:rFonts w:asciiTheme="minorHAnsi" w:hAnsiTheme="minorHAnsi"/>
          <w:sz w:val="24"/>
          <w:szCs w:val="24"/>
        </w:rPr>
        <w:br w:type="page"/>
      </w:r>
    </w:p>
    <w:p w:rsidR="00A2612C" w:rsidRPr="00F935BF" w:rsidRDefault="00490DC1" w:rsidP="00C67178">
      <w:pPr>
        <w:tabs>
          <w:tab w:val="left" w:pos="2594"/>
        </w:tabs>
        <w:ind w:left="0" w:firstLine="0"/>
        <w:rPr>
          <w:rFonts w:asciiTheme="minorHAnsi" w:hAnsiTheme="minorHAnsi"/>
        </w:rPr>
      </w:pPr>
      <w:r w:rsidRPr="00F935BF">
        <w:rPr>
          <w:rFonts w:asciiTheme="minorHAnsi" w:hAnsiTheme="minorHAnsi"/>
          <w:szCs w:val="24"/>
        </w:rPr>
        <w:lastRenderedPageBreak/>
        <w:t xml:space="preserve">A </w:t>
      </w:r>
      <w:r w:rsidRPr="00F935BF">
        <w:rPr>
          <w:rFonts w:asciiTheme="minorHAnsi" w:hAnsiTheme="minorHAnsi"/>
          <w:b/>
          <w:szCs w:val="24"/>
        </w:rPr>
        <w:t>predictor of post-school success</w:t>
      </w:r>
      <w:r w:rsidRPr="00F935BF">
        <w:rPr>
          <w:rFonts w:asciiTheme="minorHAnsi" w:hAnsiTheme="minorHAnsi"/>
          <w:szCs w:val="24"/>
        </w:rPr>
        <w:t xml:space="preserve"> is an in-school experience, typically a program (i.e., work-based learning experience) correlated with improved post-school outcomes. Predictors, like the evidence-based practices listed above, are based on empirical research. </w:t>
      </w:r>
      <w:r w:rsidR="00A2612C" w:rsidRPr="00F935BF">
        <w:rPr>
          <w:rFonts w:asciiTheme="minorHAnsi" w:hAnsiTheme="minorHAnsi"/>
        </w:rPr>
        <w:t>Predictors apply to transition planning and instruction in the following ways:</w:t>
      </w:r>
    </w:p>
    <w:p w:rsidR="00A2612C" w:rsidRPr="00F935BF" w:rsidRDefault="00A2612C" w:rsidP="00A2612C">
      <w:pPr>
        <w:tabs>
          <w:tab w:val="left" w:pos="2594"/>
        </w:tabs>
        <w:rPr>
          <w:rFonts w:asciiTheme="minorHAnsi" w:hAnsiTheme="minorHAnsi"/>
        </w:rPr>
      </w:pPr>
    </w:p>
    <w:p w:rsidR="0051050A" w:rsidRPr="00F935BF" w:rsidRDefault="00490DC1" w:rsidP="00C67178">
      <w:pPr>
        <w:tabs>
          <w:tab w:val="left" w:pos="2594"/>
        </w:tabs>
        <w:ind w:left="0" w:firstLine="0"/>
        <w:rPr>
          <w:rFonts w:asciiTheme="minorHAnsi" w:hAnsiTheme="minorHAnsi"/>
        </w:rPr>
      </w:pPr>
      <w:r w:rsidRPr="00F935BF">
        <w:rPr>
          <w:rFonts w:asciiTheme="minorHAnsi" w:hAnsiTheme="minorHAnsi"/>
        </w:rPr>
        <w:t xml:space="preserve">Predictors of post-school success </w:t>
      </w:r>
    </w:p>
    <w:p w:rsidR="0051050A" w:rsidRPr="00F935BF" w:rsidRDefault="00A2612C" w:rsidP="00C555FB">
      <w:pPr>
        <w:pStyle w:val="ListParagraph"/>
        <w:numPr>
          <w:ilvl w:val="0"/>
          <w:numId w:val="20"/>
        </w:numPr>
        <w:tabs>
          <w:tab w:val="left" w:pos="720"/>
        </w:tabs>
        <w:rPr>
          <w:rFonts w:asciiTheme="minorHAnsi" w:hAnsiTheme="minorHAnsi"/>
        </w:rPr>
      </w:pPr>
      <w:r w:rsidRPr="00F935BF">
        <w:rPr>
          <w:rFonts w:asciiTheme="minorHAnsi" w:hAnsiTheme="minorHAnsi"/>
        </w:rPr>
        <w:t xml:space="preserve">provide practitioners information about secondary transition program characteristics that </w:t>
      </w:r>
      <w:r w:rsidR="0051050A" w:rsidRPr="00F935BF">
        <w:rPr>
          <w:rFonts w:asciiTheme="minorHAnsi" w:hAnsiTheme="minorHAnsi"/>
        </w:rPr>
        <w:t>are e</w:t>
      </w:r>
      <w:r w:rsidRPr="00F935BF">
        <w:rPr>
          <w:rFonts w:asciiTheme="minorHAnsi" w:hAnsiTheme="minorHAnsi"/>
        </w:rPr>
        <w:t xml:space="preserve">mpirically linked to </w:t>
      </w:r>
      <w:r w:rsidR="00490DC1" w:rsidRPr="00F935BF">
        <w:rPr>
          <w:rFonts w:asciiTheme="minorHAnsi" w:hAnsiTheme="minorHAnsi"/>
        </w:rPr>
        <w:t xml:space="preserve">better </w:t>
      </w:r>
      <w:r w:rsidRPr="00F935BF">
        <w:rPr>
          <w:rFonts w:asciiTheme="minorHAnsi" w:hAnsiTheme="minorHAnsi"/>
        </w:rPr>
        <w:t>post-school success for students with disabilities</w:t>
      </w:r>
      <w:r w:rsidR="0051050A" w:rsidRPr="00F935BF">
        <w:rPr>
          <w:rFonts w:asciiTheme="minorHAnsi" w:hAnsiTheme="minorHAnsi"/>
        </w:rPr>
        <w:t xml:space="preserve">, </w:t>
      </w:r>
    </w:p>
    <w:p w:rsidR="0051050A" w:rsidRPr="00F935BF" w:rsidRDefault="00A2612C" w:rsidP="00C555FB">
      <w:pPr>
        <w:pStyle w:val="ListParagraph"/>
        <w:numPr>
          <w:ilvl w:val="0"/>
          <w:numId w:val="20"/>
        </w:numPr>
        <w:tabs>
          <w:tab w:val="left" w:pos="720"/>
        </w:tabs>
        <w:rPr>
          <w:rFonts w:asciiTheme="minorHAnsi" w:hAnsiTheme="minorHAnsi"/>
        </w:rPr>
      </w:pPr>
      <w:r w:rsidRPr="00F935BF">
        <w:rPr>
          <w:rFonts w:asciiTheme="minorHAnsi" w:hAnsiTheme="minorHAnsi"/>
        </w:rPr>
        <w:t>can be used to</w:t>
      </w:r>
      <w:r w:rsidR="0051050A" w:rsidRPr="00F935BF">
        <w:rPr>
          <w:rFonts w:asciiTheme="minorHAnsi" w:hAnsiTheme="minorHAnsi"/>
        </w:rPr>
        <w:t xml:space="preserve"> </w:t>
      </w:r>
      <w:r w:rsidRPr="00F935BF">
        <w:rPr>
          <w:rFonts w:asciiTheme="minorHAnsi" w:hAnsiTheme="minorHAnsi"/>
        </w:rPr>
        <w:t>develop</w:t>
      </w:r>
      <w:r w:rsidR="00490DC1" w:rsidRPr="00F935BF">
        <w:rPr>
          <w:rFonts w:asciiTheme="minorHAnsi" w:hAnsiTheme="minorHAnsi"/>
        </w:rPr>
        <w:t xml:space="preserve">, </w:t>
      </w:r>
      <w:r w:rsidRPr="00F935BF">
        <w:rPr>
          <w:rFonts w:asciiTheme="minorHAnsi" w:hAnsiTheme="minorHAnsi"/>
        </w:rPr>
        <w:t>expand</w:t>
      </w:r>
      <w:r w:rsidR="00490DC1" w:rsidRPr="00F935BF">
        <w:rPr>
          <w:rFonts w:asciiTheme="minorHAnsi" w:hAnsiTheme="minorHAnsi"/>
        </w:rPr>
        <w:t xml:space="preserve">, and or evaluate </w:t>
      </w:r>
      <w:r w:rsidR="0051050A" w:rsidRPr="00F935BF">
        <w:rPr>
          <w:rFonts w:asciiTheme="minorHAnsi" w:hAnsiTheme="minorHAnsi"/>
        </w:rPr>
        <w:t xml:space="preserve">secondary transition </w:t>
      </w:r>
      <w:r w:rsidRPr="00F935BF">
        <w:rPr>
          <w:rFonts w:asciiTheme="minorHAnsi" w:hAnsiTheme="minorHAnsi"/>
        </w:rPr>
        <w:t>program</w:t>
      </w:r>
      <w:r w:rsidR="00C67178" w:rsidRPr="00F935BF">
        <w:rPr>
          <w:rFonts w:asciiTheme="minorHAnsi" w:hAnsiTheme="minorHAnsi"/>
        </w:rPr>
        <w:t>s</w:t>
      </w:r>
      <w:r w:rsidR="0051050A" w:rsidRPr="00F935BF">
        <w:rPr>
          <w:rFonts w:asciiTheme="minorHAnsi" w:hAnsiTheme="minorHAnsi"/>
        </w:rPr>
        <w:t xml:space="preserve">, </w:t>
      </w:r>
    </w:p>
    <w:p w:rsidR="00CB5C1F" w:rsidRPr="00F935BF" w:rsidRDefault="00A2612C" w:rsidP="00C555FB">
      <w:pPr>
        <w:pStyle w:val="ListParagraph"/>
        <w:numPr>
          <w:ilvl w:val="0"/>
          <w:numId w:val="20"/>
        </w:numPr>
        <w:tabs>
          <w:tab w:val="left" w:pos="720"/>
        </w:tabs>
        <w:rPr>
          <w:rFonts w:asciiTheme="minorHAnsi" w:hAnsiTheme="minorHAnsi"/>
        </w:rPr>
      </w:pPr>
      <w:r w:rsidRPr="00F935BF">
        <w:rPr>
          <w:rFonts w:asciiTheme="minorHAnsi" w:hAnsiTheme="minorHAnsi"/>
        </w:rPr>
        <w:t>help IEP teams design annual IEP goals and transition services that are more likely to help students achieve their stated post-school goals.</w:t>
      </w:r>
    </w:p>
    <w:p w:rsidR="00A2612C" w:rsidRPr="00F935BF" w:rsidRDefault="00A2612C" w:rsidP="00A2612C">
      <w:pPr>
        <w:tabs>
          <w:tab w:val="left" w:pos="2594"/>
        </w:tabs>
        <w:rPr>
          <w:rFonts w:asciiTheme="minorHAnsi" w:hAnsiTheme="minorHAnsi"/>
        </w:rPr>
      </w:pPr>
    </w:p>
    <w:p w:rsidR="0047170E" w:rsidRPr="00F935BF" w:rsidRDefault="00A2612C" w:rsidP="00A2612C">
      <w:pPr>
        <w:ind w:left="0" w:firstLine="0"/>
        <w:rPr>
          <w:rFonts w:asciiTheme="minorHAnsi" w:hAnsiTheme="minorHAnsi"/>
        </w:rPr>
      </w:pPr>
      <w:r w:rsidRPr="00F935BF">
        <w:rPr>
          <w:rFonts w:asciiTheme="minorHAnsi" w:hAnsiTheme="minorHAnsi"/>
        </w:rPr>
        <w:t xml:space="preserve">Table </w:t>
      </w:r>
      <w:r w:rsidR="00B07856" w:rsidRPr="00F935BF">
        <w:rPr>
          <w:rFonts w:asciiTheme="minorHAnsi" w:hAnsiTheme="minorHAnsi"/>
        </w:rPr>
        <w:t xml:space="preserve">3 </w:t>
      </w:r>
      <w:r w:rsidRPr="00F935BF">
        <w:rPr>
          <w:rFonts w:asciiTheme="minorHAnsi" w:hAnsiTheme="minorHAnsi"/>
        </w:rPr>
        <w:t>lists each predictor of post-school success</w:t>
      </w:r>
      <w:r w:rsidR="0047170E" w:rsidRPr="00F935BF">
        <w:rPr>
          <w:rFonts w:asciiTheme="minorHAnsi" w:hAnsiTheme="minorHAnsi"/>
        </w:rPr>
        <w:t xml:space="preserve"> and </w:t>
      </w:r>
      <w:r w:rsidR="00B07856" w:rsidRPr="00F935BF">
        <w:rPr>
          <w:rFonts w:asciiTheme="minorHAnsi" w:hAnsiTheme="minorHAnsi"/>
        </w:rPr>
        <w:t xml:space="preserve">operational definition for </w:t>
      </w:r>
      <w:r w:rsidR="0047170E" w:rsidRPr="00F935BF">
        <w:rPr>
          <w:rFonts w:asciiTheme="minorHAnsi" w:hAnsiTheme="minorHAnsi"/>
        </w:rPr>
        <w:t>each predictor</w:t>
      </w:r>
      <w:r w:rsidR="00B07856" w:rsidRPr="00F935BF">
        <w:rPr>
          <w:rFonts w:asciiTheme="minorHAnsi" w:hAnsiTheme="minorHAnsi"/>
        </w:rPr>
        <w:t xml:space="preserve"> from (Rowe, Alverson, Unruh, Fowler, Kellems, Test, &amp; Kohler, 2013)</w:t>
      </w:r>
      <w:r w:rsidR="0047170E" w:rsidRPr="00F935BF">
        <w:rPr>
          <w:rFonts w:asciiTheme="minorHAnsi" w:hAnsiTheme="minorHAnsi"/>
        </w:rPr>
        <w:t>.</w:t>
      </w:r>
    </w:p>
    <w:p w:rsidR="0047170E" w:rsidRPr="00F935BF" w:rsidRDefault="0047170E" w:rsidP="00A2612C">
      <w:pPr>
        <w:ind w:left="0" w:firstLine="0"/>
        <w:rPr>
          <w:rFonts w:asciiTheme="minorHAnsi" w:hAnsiTheme="minorHAnsi"/>
          <w:highlight w:val="yellow"/>
        </w:rPr>
      </w:pPr>
    </w:p>
    <w:p w:rsidR="00A2612C" w:rsidRPr="00F935BF" w:rsidRDefault="007927EE" w:rsidP="00A2612C">
      <w:pPr>
        <w:tabs>
          <w:tab w:val="left" w:pos="2594"/>
        </w:tabs>
        <w:rPr>
          <w:rFonts w:asciiTheme="minorHAnsi" w:hAnsiTheme="minorHAnsi"/>
        </w:rPr>
      </w:pPr>
      <w:r w:rsidRPr="00F935BF">
        <w:rPr>
          <w:rFonts w:asciiTheme="minorHAnsi" w:hAnsiTheme="minorHAnsi"/>
        </w:rPr>
        <w:t>Table 3. Predictors of Post-School Success</w:t>
      </w:r>
    </w:p>
    <w:p w:rsidR="0047170E" w:rsidRPr="00F935BF" w:rsidRDefault="0047170E" w:rsidP="00A2612C">
      <w:pPr>
        <w:tabs>
          <w:tab w:val="left" w:pos="2594"/>
        </w:tabs>
        <w:rPr>
          <w:rFonts w:asciiTheme="minorHAnsi" w:hAnsiTheme="minorHAnsi"/>
          <w:sz w:val="24"/>
          <w:szCs w:val="24"/>
        </w:rPr>
      </w:pPr>
    </w:p>
    <w:tbl>
      <w:tblPr>
        <w:tblW w:w="5006"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0"/>
        <w:gridCol w:w="7038"/>
      </w:tblGrid>
      <w:tr w:rsidR="0047170E" w:rsidRPr="00F935BF" w:rsidTr="00177DD6">
        <w:tc>
          <w:tcPr>
            <w:tcW w:w="13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170E" w:rsidRPr="00F935BF" w:rsidRDefault="0047170E" w:rsidP="0047170E">
            <w:pPr>
              <w:jc w:val="center"/>
              <w:rPr>
                <w:rFonts w:asciiTheme="minorHAnsi" w:eastAsiaTheme="minorHAnsi" w:hAnsiTheme="minorHAnsi"/>
                <w:b/>
                <w:sz w:val="20"/>
                <w:szCs w:val="20"/>
              </w:rPr>
            </w:pPr>
            <w:r w:rsidRPr="00F935BF">
              <w:rPr>
                <w:rFonts w:asciiTheme="minorHAnsi" w:eastAsiaTheme="minorHAnsi" w:hAnsiTheme="minorHAnsi"/>
                <w:b/>
                <w:sz w:val="20"/>
                <w:szCs w:val="20"/>
              </w:rPr>
              <w:t>Predictor</w:t>
            </w:r>
          </w:p>
        </w:tc>
        <w:tc>
          <w:tcPr>
            <w:tcW w:w="36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170E" w:rsidRPr="00F935BF" w:rsidRDefault="0047170E" w:rsidP="0047170E">
            <w:pPr>
              <w:jc w:val="center"/>
              <w:rPr>
                <w:rFonts w:asciiTheme="minorHAnsi" w:eastAsiaTheme="minorHAnsi" w:hAnsiTheme="minorHAnsi"/>
                <w:b/>
                <w:sz w:val="20"/>
                <w:szCs w:val="20"/>
              </w:rPr>
            </w:pPr>
            <w:r w:rsidRPr="00F935BF">
              <w:rPr>
                <w:rFonts w:asciiTheme="minorHAnsi" w:eastAsiaTheme="minorHAnsi" w:hAnsiTheme="minorHAnsi"/>
                <w:b/>
                <w:sz w:val="20"/>
                <w:szCs w:val="20"/>
              </w:rPr>
              <w:t>Definition</w:t>
            </w:r>
          </w:p>
        </w:tc>
      </w:tr>
      <w:tr w:rsidR="0047170E" w:rsidRPr="00F935BF" w:rsidTr="00177DD6">
        <w:trPr>
          <w:trHeight w:val="926"/>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Inclusion in General Education</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177DD6">
            <w:pPr>
              <w:ind w:left="0" w:firstLine="0"/>
              <w:rPr>
                <w:rFonts w:asciiTheme="minorHAnsi" w:eastAsiaTheme="minorHAnsi" w:hAnsiTheme="minorHAnsi" w:cs="Calibri"/>
                <w:sz w:val="20"/>
                <w:szCs w:val="20"/>
              </w:rPr>
            </w:pPr>
            <w:r w:rsidRPr="00F935BF">
              <w:rPr>
                <w:rFonts w:asciiTheme="minorHAnsi" w:hAnsiTheme="minorHAnsi" w:cs="Calibri"/>
                <w:bCs/>
                <w:sz w:val="20"/>
                <w:szCs w:val="20"/>
              </w:rPr>
              <w:t>Inclusion in general education requires students with disabilities to have access to general education curriculum and be engaged in regular education classes with peers without disabilities.</w:t>
            </w:r>
          </w:p>
        </w:tc>
      </w:tr>
      <w:tr w:rsidR="0047170E" w:rsidRPr="00F935BF" w:rsidTr="00177DD6">
        <w:trPr>
          <w:trHeight w:val="1520"/>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Exit Exam Requirements/ High School Diploma Status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177DD6" w:rsidP="00177DD6">
            <w:pPr>
              <w:ind w:left="0" w:firstLine="0"/>
              <w:outlineLvl w:val="1"/>
              <w:rPr>
                <w:rFonts w:asciiTheme="minorHAnsi" w:hAnsiTheme="minorHAnsi" w:cs="Calibri"/>
                <w:bCs/>
                <w:sz w:val="20"/>
                <w:szCs w:val="20"/>
              </w:rPr>
            </w:pPr>
            <w:r w:rsidRPr="00F935BF">
              <w:rPr>
                <w:rFonts w:asciiTheme="minorHAnsi" w:hAnsiTheme="minorHAnsi" w:cs="Calibri"/>
                <w:bCs/>
                <w:sz w:val="20"/>
                <w:szCs w:val="20"/>
              </w:rPr>
              <w:t xml:space="preserve">Exit exams are standardized state tests, assessing single content area (e.g. Algebra, English) or multiple skill areas, with specified levels of proficiency that students must pass in order to obtain a high school diploma. Diploma status is achieved by completing the requirements of the state awarding the diploma including the completion of necessary core curriculum credits. </w:t>
            </w:r>
          </w:p>
        </w:tc>
      </w:tr>
      <w:tr w:rsidR="0047170E" w:rsidRPr="00F935BF" w:rsidTr="00177DD6">
        <w:trPr>
          <w:trHeight w:val="1052"/>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Program of Study</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177DD6">
            <w:pPr>
              <w:ind w:left="0" w:firstLine="0"/>
              <w:outlineLvl w:val="1"/>
              <w:rPr>
                <w:rFonts w:asciiTheme="minorHAnsi" w:hAnsiTheme="minorHAnsi" w:cs="Calibri"/>
                <w:bCs/>
                <w:sz w:val="20"/>
                <w:szCs w:val="20"/>
              </w:rPr>
            </w:pPr>
            <w:r w:rsidRPr="00F935BF">
              <w:rPr>
                <w:rFonts w:asciiTheme="minorHAnsi" w:hAnsiTheme="minorHAnsi" w:cs="Calibri"/>
                <w:bCs/>
                <w:sz w:val="20"/>
                <w:szCs w:val="20"/>
              </w:rPr>
              <w:t xml:space="preserve">A program of study is an individualized set of courses, experiences, and curriculum designed to develop students’ academic and functional achievement to support the attainment of students’ desired post-school goals. </w:t>
            </w:r>
          </w:p>
        </w:tc>
      </w:tr>
      <w:tr w:rsidR="0047170E" w:rsidRPr="00F935BF"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Transition Program</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177DD6" w:rsidP="00177DD6">
            <w:pPr>
              <w:ind w:left="0" w:firstLine="0"/>
              <w:rPr>
                <w:rFonts w:asciiTheme="minorHAnsi" w:hAnsiTheme="minorHAnsi" w:cs="Calibri"/>
                <w:bCs/>
                <w:sz w:val="20"/>
                <w:szCs w:val="20"/>
              </w:rPr>
            </w:pPr>
            <w:r w:rsidRPr="00F935BF">
              <w:rPr>
                <w:rFonts w:asciiTheme="minorHAnsi" w:hAnsiTheme="minorHAnsi" w:cs="Calibri"/>
                <w:bCs/>
                <w:sz w:val="20"/>
                <w:szCs w:val="20"/>
              </w:rPr>
              <w:t>A transition program prepares students to move from secondary settings (e.g., middle school/high school) to adult-life, utilizing comprehensive transition planning and education that creates individualized opportunities, services, and supports to help students achieve their post-school goals in education/training, employment, and independent living.</w:t>
            </w:r>
          </w:p>
        </w:tc>
      </w:tr>
      <w:tr w:rsidR="0047170E" w:rsidRPr="00F935BF"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Occupational Courses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177DD6" w:rsidP="00177DD6">
            <w:pPr>
              <w:ind w:left="0" w:firstLine="0"/>
              <w:rPr>
                <w:rFonts w:asciiTheme="minorHAnsi" w:hAnsiTheme="minorHAnsi" w:cs="Calibri"/>
                <w:bCs/>
                <w:sz w:val="20"/>
                <w:szCs w:val="20"/>
              </w:rPr>
            </w:pPr>
            <w:r w:rsidRPr="00F935BF">
              <w:rPr>
                <w:rFonts w:asciiTheme="minorHAnsi" w:hAnsiTheme="minorHAnsi" w:cs="Calibri"/>
                <w:bCs/>
                <w:sz w:val="20"/>
                <w:szCs w:val="20"/>
              </w:rPr>
              <w:t>Occupational courses are individual courses that support career awareness, allow or enable students to explore various career pathways, develop occupational specific skills through instruction, and experiences focused on their desired employment goals.</w:t>
            </w:r>
          </w:p>
        </w:tc>
      </w:tr>
      <w:tr w:rsidR="0047170E" w:rsidRPr="00F935BF"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F935BF" w:rsidRDefault="0047170E" w:rsidP="00C555FB">
            <w:pPr>
              <w:pStyle w:val="ListParagraph"/>
              <w:numPr>
                <w:ilvl w:val="0"/>
                <w:numId w:val="3"/>
              </w:numPr>
              <w:rPr>
                <w:rFonts w:asciiTheme="minorHAnsi" w:eastAsiaTheme="minorHAnsi" w:hAnsiTheme="minorHAnsi" w:cs="Calibri"/>
                <w:sz w:val="20"/>
                <w:szCs w:val="20"/>
              </w:rPr>
            </w:pPr>
            <w:r w:rsidRPr="00F935BF">
              <w:rPr>
                <w:rFonts w:asciiTheme="minorHAnsi" w:eastAsiaTheme="minorHAnsi" w:hAnsiTheme="minorHAnsi" w:cs="Calibri"/>
                <w:sz w:val="20"/>
                <w:szCs w:val="20"/>
              </w:rPr>
              <w:t>Paid Work Experience</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F935BF" w:rsidRDefault="00177DD6" w:rsidP="00177DD6">
            <w:pPr>
              <w:ind w:left="0" w:firstLine="0"/>
              <w:rPr>
                <w:rFonts w:asciiTheme="minorHAnsi" w:hAnsiTheme="minorHAnsi" w:cs="Calibri"/>
                <w:bCs/>
                <w:sz w:val="20"/>
                <w:szCs w:val="20"/>
              </w:rPr>
            </w:pPr>
            <w:r w:rsidRPr="00F935BF">
              <w:rPr>
                <w:rFonts w:asciiTheme="minorHAnsi" w:hAnsiTheme="minorHAnsi" w:cs="Calibri"/>
                <w:bCs/>
                <w:sz w:val="20"/>
                <w:szCs w:val="20"/>
              </w:rPr>
              <w:t>Work experience is any activity that places the student in an authentic workplace, and could include: work sampling, job shadowing, internships, apprenticeships, and paid employment. Paid employment can include existing standard jobs in a company or organization or customized work assignments negotiated with the employer, but these activities always feature competitive pay (e.g., minimum wage) paid directly to the student by the employer.</w:t>
            </w:r>
          </w:p>
        </w:tc>
      </w:tr>
      <w:tr w:rsidR="0047170E" w:rsidRPr="00177DD6" w:rsidTr="00177DD6">
        <w:trPr>
          <w:trHeight w:val="79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lastRenderedPageBreak/>
              <w:t>Vocational Education</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color w:val="000000"/>
                <w:sz w:val="20"/>
                <w:szCs w:val="20"/>
              </w:rPr>
            </w:pPr>
            <w:r w:rsidRPr="00177DD6">
              <w:rPr>
                <w:rFonts w:asciiTheme="minorHAnsi" w:hAnsiTheme="minorHAnsi" w:cs="Calibri"/>
                <w:color w:val="000000"/>
                <w:sz w:val="20"/>
                <w:szCs w:val="20"/>
              </w:rPr>
              <w:t>Vocational education is a sequence of courses that prepares students for a specific job or career at various levels from trade or craft positions to technical, business, or professional careers.</w:t>
            </w:r>
          </w:p>
        </w:tc>
      </w:tr>
      <w:tr w:rsidR="0047170E"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Work Study</w:t>
            </w:r>
          </w:p>
        </w:tc>
        <w:tc>
          <w:tcPr>
            <w:tcW w:w="3635" w:type="pct"/>
            <w:tcBorders>
              <w:top w:val="single" w:sz="4" w:space="0" w:color="000000"/>
              <w:left w:val="single" w:sz="4" w:space="0" w:color="000000"/>
              <w:bottom w:val="single" w:sz="4" w:space="0" w:color="000000"/>
              <w:right w:val="single" w:sz="4" w:space="0" w:color="000000"/>
            </w:tcBorders>
            <w:hideMark/>
          </w:tcPr>
          <w:p w:rsidR="00177DD6"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color w:val="000000"/>
                <w:sz w:val="20"/>
                <w:szCs w:val="20"/>
              </w:rPr>
              <w:t>A work study program is a specified sequence of work skills instruction and experiences designed to develop students’ work attitudes and general work behaviors by providing students with mutually supportive and integrated academic and vocational instruction.</w:t>
            </w:r>
          </w:p>
          <w:p w:rsidR="0047170E" w:rsidRPr="00177DD6" w:rsidRDefault="00177DD6" w:rsidP="00177DD6">
            <w:pPr>
              <w:tabs>
                <w:tab w:val="left" w:pos="1728"/>
              </w:tabs>
              <w:rPr>
                <w:rFonts w:asciiTheme="minorHAnsi" w:hAnsiTheme="minorHAnsi" w:cs="Calibri"/>
                <w:sz w:val="20"/>
                <w:szCs w:val="20"/>
              </w:rPr>
            </w:pPr>
            <w:r w:rsidRPr="00177DD6">
              <w:rPr>
                <w:rFonts w:asciiTheme="minorHAnsi" w:hAnsiTheme="minorHAnsi" w:cs="Calibri"/>
                <w:sz w:val="20"/>
                <w:szCs w:val="20"/>
              </w:rPr>
              <w:tab/>
            </w:r>
            <w:r w:rsidRPr="00177DD6">
              <w:rPr>
                <w:rFonts w:asciiTheme="minorHAnsi" w:hAnsiTheme="minorHAnsi" w:cs="Calibri"/>
                <w:sz w:val="20"/>
                <w:szCs w:val="20"/>
              </w:rPr>
              <w:tab/>
            </w:r>
          </w:p>
        </w:tc>
      </w:tr>
      <w:tr w:rsidR="0047170E" w:rsidRPr="00177DD6" w:rsidTr="00177DD6">
        <w:trPr>
          <w:trHeight w:val="854"/>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Career Awareness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Career Awareness is learning about opportunities, education, and skills needed in various occupational pathways to choose a career that matches one’s strengths and interests.</w:t>
            </w:r>
          </w:p>
        </w:tc>
      </w:tr>
      <w:tr w:rsidR="0047170E" w:rsidRPr="00177DD6" w:rsidTr="00177DD6">
        <w:trPr>
          <w:trHeight w:val="854"/>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Community Experiences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Community experiences are activities occurring outside of the school setting, supported with in-class instruction, where students apply academic, social, and/or general work behaviors and skills.</w:t>
            </w:r>
          </w:p>
        </w:tc>
      </w:tr>
      <w:tr w:rsidR="0047170E" w:rsidRPr="00177DD6" w:rsidTr="00177DD6">
        <w:trPr>
          <w:trHeight w:val="863"/>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Self-Advocacy/Self-Determination</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Self-Determination is the ability to make choices, solve problems, set goals, evaluate options, take initiative to reach one’s goals, and accept consequences of one's actions.</w:t>
            </w:r>
          </w:p>
        </w:tc>
      </w:tr>
      <w:tr w:rsidR="0047170E"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Self-Care/Independent Living Skills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outlineLvl w:val="1"/>
              <w:rPr>
                <w:rFonts w:asciiTheme="minorHAnsi" w:hAnsiTheme="minorHAnsi" w:cs="Calibri"/>
                <w:bCs/>
                <w:sz w:val="20"/>
                <w:szCs w:val="20"/>
              </w:rPr>
            </w:pPr>
            <w:r w:rsidRPr="00177DD6">
              <w:rPr>
                <w:rFonts w:asciiTheme="minorHAnsi" w:hAnsiTheme="minorHAnsi" w:cs="Calibri"/>
                <w:bCs/>
                <w:sz w:val="20"/>
                <w:szCs w:val="20"/>
              </w:rPr>
              <w:t xml:space="preserve">Self-care/independent living skills are skills necessary for management of one’s personal self-care and daily independent living, including the personal management skills needed to interact with others, daily living skills, financial management skills, and the self-management of healthcare/wellness needs. </w:t>
            </w:r>
          </w:p>
        </w:tc>
      </w:tr>
      <w:tr w:rsidR="0047170E"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Social Skills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Social skills are behaviors and attitudes that facilitate communication and cooperation (e.g., social conventions, social problem-solving when engaged in a social interaction, body language, speaking, listening, responding, verbal and written communication).</w:t>
            </w:r>
          </w:p>
        </w:tc>
      </w:tr>
      <w:tr w:rsidR="0047170E"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Parental Involvement</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outlineLvl w:val="1"/>
              <w:rPr>
                <w:rFonts w:asciiTheme="minorHAnsi" w:hAnsiTheme="minorHAnsi" w:cs="Calibri"/>
                <w:bCs/>
                <w:sz w:val="20"/>
                <w:szCs w:val="20"/>
              </w:rPr>
            </w:pPr>
            <w:r w:rsidRPr="00177DD6">
              <w:rPr>
                <w:rFonts w:asciiTheme="minorHAnsi" w:hAnsiTheme="minorHAnsi" w:cs="Calibri"/>
                <w:bCs/>
                <w:sz w:val="20"/>
                <w:szCs w:val="20"/>
              </w:rPr>
              <w:t>Involvement means parents /families/guardian are active and knowledgeable participants in all aspects of transition planning (e.g., decision-making, providing support, attending meetings, and advocating for their child).</w:t>
            </w:r>
          </w:p>
        </w:tc>
      </w:tr>
      <w:tr w:rsidR="0047170E" w:rsidRPr="00177DD6" w:rsidTr="00177DD6">
        <w:trPr>
          <w:trHeight w:val="1079"/>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Parent Expectations</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outlineLvl w:val="1"/>
              <w:rPr>
                <w:rFonts w:asciiTheme="minorHAnsi" w:hAnsiTheme="minorHAnsi" w:cs="Calibri"/>
                <w:sz w:val="20"/>
                <w:szCs w:val="20"/>
              </w:rPr>
            </w:pPr>
            <w:r w:rsidRPr="00177DD6">
              <w:rPr>
                <w:rFonts w:asciiTheme="minorHAnsi" w:hAnsiTheme="minorHAnsi" w:cs="Calibri"/>
                <w:sz w:val="20"/>
                <w:szCs w:val="20"/>
              </w:rPr>
              <w:t>Expectations include a parents and families planning and articulating an expectation that their child will participate in integrated postsecondary education and be employed in integrated settings the community after high school.</w:t>
            </w:r>
          </w:p>
        </w:tc>
      </w:tr>
      <w:tr w:rsidR="0047170E"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47170E" w:rsidRPr="00177DD6" w:rsidRDefault="0047170E"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Student Support</w:t>
            </w:r>
          </w:p>
        </w:tc>
        <w:tc>
          <w:tcPr>
            <w:tcW w:w="3635" w:type="pct"/>
            <w:tcBorders>
              <w:top w:val="single" w:sz="4" w:space="0" w:color="000000"/>
              <w:left w:val="single" w:sz="4" w:space="0" w:color="000000"/>
              <w:bottom w:val="single" w:sz="4" w:space="0" w:color="000000"/>
              <w:right w:val="single" w:sz="4" w:space="0" w:color="000000"/>
            </w:tcBorders>
            <w:hideMark/>
          </w:tcPr>
          <w:p w:rsidR="0047170E"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Student support is a network of people (e.g., family, friends, educators and adult service providers) who provide services and resources in multiple environments to prepare students to obtain their annual transition and post-secondary goals aligned with their preferences, interests, and needs.</w:t>
            </w:r>
          </w:p>
        </w:tc>
      </w:tr>
      <w:tr w:rsidR="00177DD6" w:rsidRPr="00177DD6" w:rsidTr="00177DD6">
        <w:trPr>
          <w:trHeight w:val="1241"/>
        </w:trPr>
        <w:tc>
          <w:tcPr>
            <w:tcW w:w="1364" w:type="pct"/>
            <w:tcBorders>
              <w:top w:val="single" w:sz="4" w:space="0" w:color="000000"/>
              <w:left w:val="single" w:sz="4" w:space="0" w:color="000000"/>
              <w:bottom w:val="single" w:sz="4" w:space="0" w:color="000000"/>
              <w:right w:val="single" w:sz="4" w:space="0" w:color="000000"/>
            </w:tcBorders>
            <w:hideMark/>
          </w:tcPr>
          <w:p w:rsidR="00177DD6" w:rsidRPr="00177DD6" w:rsidRDefault="00177DD6" w:rsidP="00C555FB">
            <w:pPr>
              <w:pStyle w:val="ListParagraph"/>
              <w:numPr>
                <w:ilvl w:val="0"/>
                <w:numId w:val="3"/>
              </w:numPr>
              <w:rPr>
                <w:rFonts w:asciiTheme="minorHAnsi" w:eastAsiaTheme="minorHAnsi" w:hAnsiTheme="minorHAnsi" w:cs="Calibri"/>
                <w:sz w:val="20"/>
                <w:szCs w:val="20"/>
              </w:rPr>
            </w:pPr>
            <w:r w:rsidRPr="00177DD6">
              <w:rPr>
                <w:rFonts w:asciiTheme="minorHAnsi" w:eastAsiaTheme="minorHAnsi" w:hAnsiTheme="minorHAnsi" w:cs="Calibri"/>
                <w:sz w:val="20"/>
                <w:szCs w:val="20"/>
              </w:rPr>
              <w:t>Interagency Collaboration</w:t>
            </w:r>
          </w:p>
        </w:tc>
        <w:tc>
          <w:tcPr>
            <w:tcW w:w="3635" w:type="pct"/>
            <w:tcBorders>
              <w:top w:val="single" w:sz="4" w:space="0" w:color="000000"/>
              <w:left w:val="single" w:sz="4" w:space="0" w:color="000000"/>
              <w:bottom w:val="single" w:sz="4" w:space="0" w:color="000000"/>
              <w:right w:val="single" w:sz="4" w:space="0" w:color="000000"/>
            </w:tcBorders>
            <w:hideMark/>
          </w:tcPr>
          <w:p w:rsidR="00177DD6" w:rsidRPr="00177DD6" w:rsidRDefault="00177DD6" w:rsidP="00177DD6">
            <w:pPr>
              <w:ind w:left="0" w:firstLine="0"/>
              <w:rPr>
                <w:rFonts w:asciiTheme="minorHAnsi" w:hAnsiTheme="minorHAnsi" w:cs="Calibri"/>
                <w:bCs/>
                <w:sz w:val="20"/>
                <w:szCs w:val="20"/>
              </w:rPr>
            </w:pPr>
            <w:r w:rsidRPr="00177DD6">
              <w:rPr>
                <w:rFonts w:asciiTheme="minorHAnsi" w:hAnsiTheme="minorHAnsi" w:cs="Calibri"/>
                <w:bCs/>
                <w:sz w:val="20"/>
                <w:szCs w:val="20"/>
              </w:rPr>
              <w:t>Interagency Collaboration is a clear, purposeful, and carefully designed process that promotes cross agency, cross program, and cross disciplinary collaborative efforts leading to tangible transition outcomes for youth.</w:t>
            </w:r>
          </w:p>
        </w:tc>
      </w:tr>
    </w:tbl>
    <w:p w:rsidR="0047170E" w:rsidRPr="00177DD6" w:rsidRDefault="0047170E" w:rsidP="00A2612C">
      <w:pPr>
        <w:tabs>
          <w:tab w:val="left" w:pos="2594"/>
        </w:tabs>
        <w:rPr>
          <w:rFonts w:asciiTheme="minorHAnsi" w:hAnsiTheme="minorHAnsi" w:cs="Calibri"/>
        </w:rPr>
      </w:pPr>
    </w:p>
    <w:p w:rsidR="0047170E" w:rsidRPr="00177DD6" w:rsidRDefault="0047170E">
      <w:pPr>
        <w:ind w:left="0" w:firstLine="0"/>
        <w:rPr>
          <w:rFonts w:cs="Calibri"/>
          <w:sz w:val="24"/>
          <w:szCs w:val="24"/>
        </w:rPr>
      </w:pPr>
      <w:r w:rsidRPr="00177DD6">
        <w:rPr>
          <w:rFonts w:cs="Calibri"/>
          <w:sz w:val="24"/>
          <w:szCs w:val="24"/>
        </w:rPr>
        <w:br w:type="page"/>
      </w:r>
    </w:p>
    <w:p w:rsidR="0047170E" w:rsidRDefault="0047170E" w:rsidP="00A2612C">
      <w:pPr>
        <w:tabs>
          <w:tab w:val="left" w:pos="2594"/>
        </w:tabs>
        <w:rPr>
          <w:rFonts w:asciiTheme="minorHAnsi" w:hAnsiTheme="minorHAnsi"/>
          <w:sz w:val="24"/>
          <w:szCs w:val="24"/>
        </w:rPr>
      </w:pPr>
    </w:p>
    <w:p w:rsidR="0047170E" w:rsidRPr="00C67178" w:rsidRDefault="0047170E" w:rsidP="00A2612C">
      <w:pPr>
        <w:tabs>
          <w:tab w:val="left" w:pos="2594"/>
        </w:tabs>
        <w:rPr>
          <w:rFonts w:asciiTheme="minorHAnsi" w:hAnsiTheme="minorHAnsi"/>
          <w:sz w:val="24"/>
          <w:szCs w:val="24"/>
        </w:rPr>
      </w:pPr>
    </w:p>
    <w:p w:rsidR="00B07856" w:rsidRPr="00C67178" w:rsidRDefault="00B07856" w:rsidP="00B07856">
      <w:pPr>
        <w:ind w:left="0" w:firstLine="0"/>
        <w:rPr>
          <w:rFonts w:asciiTheme="minorHAnsi" w:hAnsiTheme="minorHAnsi"/>
          <w:i/>
        </w:rPr>
      </w:pPr>
      <w:r w:rsidRPr="007927EE">
        <w:rPr>
          <w:rFonts w:asciiTheme="minorHAnsi" w:hAnsiTheme="minorHAnsi"/>
        </w:rPr>
        <w:t>Table 4 lists each predictor and the description of that predictor directly</w:t>
      </w:r>
      <w:bookmarkStart w:id="0" w:name="_GoBack"/>
      <w:bookmarkEnd w:id="0"/>
      <w:r w:rsidRPr="007927EE">
        <w:rPr>
          <w:rFonts w:asciiTheme="minorHAnsi" w:hAnsiTheme="minorHAnsi"/>
        </w:rPr>
        <w:t xml:space="preserve"> from the empirical research literature, and references used to establish the predictor. </w:t>
      </w:r>
      <w:r w:rsidRPr="007927EE">
        <w:rPr>
          <w:rFonts w:asciiTheme="minorHAnsi" w:hAnsiTheme="minorHAnsi"/>
          <w:i/>
        </w:rPr>
        <w:t xml:space="preserve">Visit </w:t>
      </w:r>
      <w:hyperlink r:id="rId10" w:history="1">
        <w:r w:rsidRPr="007927EE">
          <w:rPr>
            <w:rStyle w:val="Hyperlink"/>
            <w:rFonts w:asciiTheme="minorHAnsi" w:hAnsiTheme="minorHAnsi"/>
            <w:i/>
          </w:rPr>
          <w:t>www.nsttac.org</w:t>
        </w:r>
      </w:hyperlink>
      <w:r w:rsidRPr="007927EE">
        <w:rPr>
          <w:rFonts w:asciiTheme="minorHAnsi" w:hAnsiTheme="minorHAnsi"/>
          <w:i/>
        </w:rPr>
        <w:t xml:space="preserve"> for information pertaining the how the predictors were identified.</w:t>
      </w:r>
      <w:r w:rsidRPr="00C67178">
        <w:rPr>
          <w:rFonts w:asciiTheme="minorHAnsi" w:hAnsiTheme="minorHAnsi"/>
          <w:i/>
        </w:rPr>
        <w:t xml:space="preserve"> </w:t>
      </w:r>
    </w:p>
    <w:p w:rsidR="00B07856" w:rsidRDefault="00B07856" w:rsidP="00A2612C">
      <w:pPr>
        <w:rPr>
          <w:rFonts w:asciiTheme="minorHAnsi" w:hAnsiTheme="minorHAnsi"/>
          <w:szCs w:val="24"/>
        </w:rPr>
      </w:pPr>
    </w:p>
    <w:p w:rsidR="00A2612C" w:rsidRPr="00C67178" w:rsidRDefault="0047170E" w:rsidP="00A2612C">
      <w:pPr>
        <w:rPr>
          <w:rFonts w:asciiTheme="minorHAnsi" w:hAnsiTheme="minorHAnsi"/>
          <w:szCs w:val="24"/>
        </w:rPr>
      </w:pPr>
      <w:r>
        <w:rPr>
          <w:rFonts w:asciiTheme="minorHAnsi" w:hAnsiTheme="minorHAnsi"/>
          <w:szCs w:val="24"/>
        </w:rPr>
        <w:t xml:space="preserve">Table </w:t>
      </w:r>
      <w:r w:rsidR="00B07856">
        <w:rPr>
          <w:rFonts w:asciiTheme="minorHAnsi" w:hAnsiTheme="minorHAnsi"/>
          <w:szCs w:val="24"/>
        </w:rPr>
        <w:t>4</w:t>
      </w:r>
      <w:r w:rsidR="00A2612C" w:rsidRPr="00C67178">
        <w:rPr>
          <w:rFonts w:asciiTheme="minorHAnsi" w:hAnsiTheme="minorHAnsi"/>
          <w:szCs w:val="24"/>
        </w:rPr>
        <w:t xml:space="preserve">.  </w:t>
      </w:r>
      <w:r w:rsidR="00A2612C" w:rsidRPr="00C67178">
        <w:rPr>
          <w:rFonts w:asciiTheme="minorHAnsi" w:hAnsiTheme="minorHAnsi"/>
          <w:i/>
          <w:szCs w:val="24"/>
        </w:rPr>
        <w:t>Predictors of Post-School Success, Description, and References</w:t>
      </w:r>
      <w:r w:rsidR="00A2612C" w:rsidRPr="00C67178">
        <w:rPr>
          <w:rFonts w:asciiTheme="minorHAnsi" w:hAnsiTheme="minorHAnsi"/>
          <w:szCs w:val="24"/>
        </w:rPr>
        <w:t xml:space="preserve"> </w:t>
      </w:r>
    </w:p>
    <w:tbl>
      <w:tblPr>
        <w:tblW w:w="5004"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1"/>
        <w:gridCol w:w="5787"/>
        <w:gridCol w:w="1716"/>
      </w:tblGrid>
      <w:tr w:rsidR="00A2612C" w:rsidRPr="00C67178" w:rsidTr="00A2612C">
        <w:trPr>
          <w:trHeight w:val="5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20BEE4"/>
            <w:vAlign w:val="center"/>
            <w:hideMark/>
          </w:tcPr>
          <w:p w:rsidR="00A2612C" w:rsidRPr="00E570CD" w:rsidRDefault="00A2612C" w:rsidP="0047170E">
            <w:pPr>
              <w:jc w:val="center"/>
              <w:rPr>
                <w:rFonts w:asciiTheme="minorHAnsi" w:eastAsiaTheme="minorHAnsi" w:hAnsiTheme="minorHAnsi"/>
                <w:b/>
                <w:color w:val="FFFFFF" w:themeColor="background1"/>
                <w:sz w:val="20"/>
                <w:szCs w:val="20"/>
              </w:rPr>
            </w:pPr>
            <w:r w:rsidRPr="00E570CD">
              <w:rPr>
                <w:rFonts w:asciiTheme="minorHAnsi" w:eastAsiaTheme="minorHAnsi" w:hAnsiTheme="minorHAnsi"/>
                <w:b/>
                <w:color w:val="FFFFFF" w:themeColor="background1"/>
                <w:sz w:val="20"/>
                <w:szCs w:val="20"/>
              </w:rPr>
              <w:t>Predictors of Post-School Success</w:t>
            </w:r>
          </w:p>
        </w:tc>
      </w:tr>
      <w:tr w:rsidR="00A2612C" w:rsidRPr="00C67178" w:rsidTr="0047170E">
        <w:tc>
          <w:tcPr>
            <w:tcW w:w="11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2612C" w:rsidRPr="00C67178" w:rsidRDefault="00A2612C" w:rsidP="0047170E">
            <w:pPr>
              <w:jc w:val="center"/>
              <w:rPr>
                <w:rFonts w:asciiTheme="minorHAnsi" w:eastAsiaTheme="minorHAnsi" w:hAnsiTheme="minorHAnsi"/>
                <w:b/>
                <w:sz w:val="20"/>
                <w:szCs w:val="20"/>
              </w:rPr>
            </w:pPr>
            <w:r w:rsidRPr="00C67178">
              <w:rPr>
                <w:rFonts w:asciiTheme="minorHAnsi" w:eastAsiaTheme="minorHAnsi" w:hAnsiTheme="minorHAnsi"/>
                <w:b/>
                <w:sz w:val="20"/>
                <w:szCs w:val="20"/>
              </w:rPr>
              <w:t>Predictor</w:t>
            </w:r>
          </w:p>
        </w:tc>
        <w:tc>
          <w:tcPr>
            <w:tcW w:w="29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2612C" w:rsidRPr="00C67178" w:rsidRDefault="00A2612C" w:rsidP="0047170E">
            <w:pPr>
              <w:jc w:val="center"/>
              <w:rPr>
                <w:rFonts w:asciiTheme="minorHAnsi" w:eastAsiaTheme="minorHAnsi" w:hAnsiTheme="minorHAnsi"/>
                <w:b/>
                <w:sz w:val="20"/>
                <w:szCs w:val="20"/>
              </w:rPr>
            </w:pPr>
            <w:r w:rsidRPr="00C67178">
              <w:rPr>
                <w:rFonts w:asciiTheme="minorHAnsi" w:eastAsiaTheme="minorHAnsi" w:hAnsiTheme="minorHAnsi"/>
                <w:b/>
                <w:sz w:val="20"/>
                <w:szCs w:val="20"/>
              </w:rPr>
              <w:t>Description</w:t>
            </w:r>
          </w:p>
        </w:tc>
        <w:tc>
          <w:tcPr>
            <w:tcW w:w="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2612C" w:rsidRPr="00C67178" w:rsidRDefault="00A2612C" w:rsidP="0047170E">
            <w:pPr>
              <w:jc w:val="center"/>
              <w:rPr>
                <w:rFonts w:asciiTheme="minorHAnsi" w:eastAsiaTheme="minorHAnsi" w:hAnsiTheme="minorHAnsi"/>
                <w:b/>
                <w:sz w:val="20"/>
                <w:szCs w:val="20"/>
              </w:rPr>
            </w:pPr>
            <w:r w:rsidRPr="00C67178">
              <w:rPr>
                <w:rFonts w:asciiTheme="minorHAnsi" w:eastAsiaTheme="minorHAnsi" w:hAnsiTheme="minorHAnsi"/>
                <w:b/>
                <w:sz w:val="20"/>
                <w:szCs w:val="20"/>
              </w:rPr>
              <w:t>References</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177DD6" w:rsidRDefault="00A2612C" w:rsidP="00C555FB">
            <w:pPr>
              <w:pStyle w:val="ListParagraph"/>
              <w:numPr>
                <w:ilvl w:val="0"/>
                <w:numId w:val="33"/>
              </w:numPr>
              <w:rPr>
                <w:rFonts w:asciiTheme="minorHAnsi" w:eastAsiaTheme="minorHAnsi" w:hAnsiTheme="minorHAnsi"/>
                <w:sz w:val="20"/>
                <w:szCs w:val="20"/>
              </w:rPr>
            </w:pPr>
            <w:r w:rsidRPr="00177DD6">
              <w:rPr>
                <w:rFonts w:asciiTheme="minorHAnsi" w:eastAsiaTheme="minorHAnsi" w:hAnsiTheme="minorHAnsi"/>
                <w:sz w:val="20"/>
                <w:szCs w:val="20"/>
              </w:rPr>
              <w:t>Inclusion in General Education</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4"/>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regular academics were 5 times more likely to participate in postsecondary education </w:t>
            </w:r>
          </w:p>
          <w:p w:rsidR="00A2612C" w:rsidRPr="00C67178" w:rsidRDefault="00A2612C" w:rsidP="00C555FB">
            <w:pPr>
              <w:pStyle w:val="ListParagraph"/>
              <w:numPr>
                <w:ilvl w:val="0"/>
                <w:numId w:val="5"/>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took academic courses in regular education placements were more likely to be engaged in post-school education, employment, and independent living </w:t>
            </w:r>
          </w:p>
          <w:p w:rsidR="00A2612C" w:rsidRPr="00C67178" w:rsidRDefault="00A2612C" w:rsidP="00C555FB">
            <w:pPr>
              <w:pStyle w:val="ListParagraph"/>
              <w:numPr>
                <w:ilvl w:val="0"/>
                <w:numId w:val="5"/>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high performance in five areas, including reading, writing, math, behaving responsibly, and problem solving skills were more likely to be engaged in postsecondary education </w:t>
            </w:r>
          </w:p>
          <w:p w:rsidR="00A2612C" w:rsidRPr="00C67178" w:rsidRDefault="00A2612C" w:rsidP="00C555FB">
            <w:pPr>
              <w:pStyle w:val="ListParagraph"/>
              <w:numPr>
                <w:ilvl w:val="0"/>
                <w:numId w:val="5"/>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passed more than half or all courses in 8 curriculum areas (remedial academics, traditional content classes, personal finance, community access, behaving responsibly, goal-setting or problem solving, specialized vocational education, regular vocational education) were more likely to be engaged in postsecondary education </w:t>
            </w:r>
          </w:p>
          <w:p w:rsidR="00A2612C" w:rsidRPr="00C67178" w:rsidRDefault="00A2612C" w:rsidP="00C555FB">
            <w:pPr>
              <w:pStyle w:val="ListParagraph"/>
              <w:numPr>
                <w:ilvl w:val="0"/>
                <w:numId w:val="5"/>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high scores on adaptive and academic skills, self-care skills, GPA on academic activities, received a diploma, and higher IQs as reported in school records were more likely to live independently </w:t>
            </w:r>
          </w:p>
          <w:p w:rsidR="00A2612C" w:rsidRPr="00C67178" w:rsidRDefault="00A2612C" w:rsidP="00C555FB">
            <w:pPr>
              <w:pStyle w:val="ListParagraph"/>
              <w:numPr>
                <w:ilvl w:val="0"/>
                <w:numId w:val="5"/>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took more hours of academic and occupational courses and spent more time in regular education were more likely to be engaged in post-school employment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Students who participated in more highly integrated and less highly specialized school programs were more likely to be living independently (i.e., high independence defined as: (a) parent’s prediction of youth’s future home independence, sum of cooking, shopping, washing, and cleaning skills, (b) sum of phone, time-keeping, counting, reading skills; (c) sum of dressing, feeding, and going out skills; (d) respondent’s claim of youth’s ability to respond on a follow-up questionnaire)</w:t>
            </w:r>
            <w:r w:rsidRPr="00C67178">
              <w:rPr>
                <w:rFonts w:asciiTheme="minorHAnsi" w:eastAsiaTheme="minorHAnsi" w:hAnsiTheme="minorHAnsi"/>
                <w:sz w:val="20"/>
                <w:szCs w:val="20"/>
                <w:vertAlign w:val="superscript"/>
              </w:rPr>
              <w:t xml:space="preserve">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spent more hours in regular education courses were more likely to be living independently (i.e., high independence, high esteem, minimal (i.e., high independence defined as: (a) parent’s prediction of youth’s future home independence, sum of cooking, shopping, washing, and cleaning skills, (b) sum of phone, time-keeping, counting, reading skills; (c) sum of dressing, feeding, and going out skills; (d) respondent’s claim of youth’s ability to respond on a follow-up questionnaire; high esteem defined as: (a) respondent’s or school’s claim of therapeutic counseling for youth; (b) number of developmental disabilities services </w:t>
            </w:r>
            <w:r w:rsidRPr="00C67178">
              <w:rPr>
                <w:rFonts w:asciiTheme="minorHAnsi" w:eastAsiaTheme="minorHAnsi" w:hAnsiTheme="minorHAnsi"/>
                <w:sz w:val="20"/>
                <w:szCs w:val="20"/>
              </w:rPr>
              <w:lastRenderedPageBreak/>
              <w:t>attributed to the youth; (c) youth used some developmental disabilities prosthetic device in the past year; (d) youth worked for pay in the past year; (e) youth worked with or without pay in the past year; (f) educational status, dropout to college graduation)</w:t>
            </w:r>
            <w:r w:rsidRPr="00C67178">
              <w:rPr>
                <w:rFonts w:asciiTheme="minorHAnsi" w:eastAsiaTheme="minorHAnsi" w:hAnsiTheme="minorHAnsi"/>
                <w:sz w:val="20"/>
                <w:szCs w:val="20"/>
                <w:vertAlign w:val="superscript"/>
              </w:rPr>
              <w:t xml:space="preserve">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were integrated into a regular school setting for most of their schooling were more likely to be engaged in post-school employment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the highest degree of integration with age-appropriate peers were more likely to engage in post-school employment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Higher performance scaled to the National Assessment of Educational Progress (NAEP) in mathematics was positively correlated with enrollment in postsecondary education, selectivity of postsecondary institutions that students attend, and the likelihood that the students receive a bachelor’s degree</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Students, including those with low achievement levels, who take more rigorous, academically intense programs in high school are more likely to enroll and persist in post-school education</w:t>
            </w:r>
          </w:p>
        </w:tc>
        <w:tc>
          <w:tcPr>
            <w:tcW w:w="887" w:type="pct"/>
            <w:tcBorders>
              <w:top w:val="single" w:sz="4" w:space="0" w:color="000000"/>
              <w:left w:val="single" w:sz="4" w:space="0" w:color="000000"/>
              <w:bottom w:val="single" w:sz="4" w:space="0" w:color="000000"/>
              <w:right w:val="single" w:sz="4" w:space="0" w:color="000000"/>
            </w:tcBorders>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lastRenderedPageBreak/>
              <w:t>Adelman, 2006; Baer et al., 2003;</w:t>
            </w:r>
            <w:r w:rsidR="00327623">
              <w:rPr>
                <w:rFonts w:asciiTheme="minorHAnsi" w:eastAsiaTheme="minorHAnsi" w:hAnsiTheme="minorHAnsi"/>
                <w:sz w:val="20"/>
                <w:szCs w:val="20"/>
              </w:rPr>
              <w:t xml:space="preserve"> Baker, 1994;</w:t>
            </w:r>
            <w:r w:rsidRPr="00C67178">
              <w:rPr>
                <w:rFonts w:asciiTheme="minorHAnsi" w:eastAsiaTheme="minorHAnsi" w:hAnsiTheme="minorHAnsi"/>
                <w:sz w:val="20"/>
                <w:szCs w:val="20"/>
              </w:rPr>
              <w:t xml:space="preserve"> Blackorby et al., 1993;</w:t>
            </w:r>
            <w:r w:rsidR="00327623">
              <w:rPr>
                <w:rFonts w:asciiTheme="minorHAnsi" w:eastAsiaTheme="minorHAnsi" w:hAnsiTheme="minorHAnsi"/>
                <w:sz w:val="20"/>
                <w:szCs w:val="20"/>
              </w:rPr>
              <w:t xml:space="preserve"> Carlberg &amp; Kavale, 1980; Chapman, 1983;</w:t>
            </w:r>
            <w:r w:rsidRPr="00C67178">
              <w:rPr>
                <w:rFonts w:asciiTheme="minorHAnsi" w:eastAsiaTheme="minorHAnsi" w:hAnsiTheme="minorHAnsi"/>
                <w:sz w:val="20"/>
                <w:szCs w:val="20"/>
              </w:rPr>
              <w:t xml:space="preserve"> </w:t>
            </w:r>
            <w:r w:rsidR="00327623">
              <w:rPr>
                <w:rFonts w:asciiTheme="minorHAnsi" w:eastAsiaTheme="minorHAnsi" w:hAnsiTheme="minorHAnsi"/>
                <w:sz w:val="20"/>
                <w:szCs w:val="20"/>
              </w:rPr>
              <w:t xml:space="preserve">Daviso, Denney, Baer, &amp; Flexer, 2011; </w:t>
            </w:r>
            <w:r w:rsidRPr="00C67178">
              <w:rPr>
                <w:rFonts w:asciiTheme="minorHAnsi" w:eastAsiaTheme="minorHAnsi" w:hAnsiTheme="minorHAnsi"/>
                <w:sz w:val="20"/>
                <w:szCs w:val="20"/>
              </w:rPr>
              <w:t xml:space="preserve">Halpern et al., 1995; Heal &amp; Rusch, 1994; Heal &amp; Rusch, 1995; Heal et al., 1997; Leonard et al., 1999; Oakes &amp; Saunders, 2007; Scott &amp; Ingles, 2007; </w:t>
            </w:r>
            <w:r w:rsidR="00327623">
              <w:rPr>
                <w:rFonts w:asciiTheme="minorHAnsi" w:eastAsiaTheme="minorHAnsi" w:hAnsiTheme="minorHAnsi"/>
                <w:sz w:val="20"/>
                <w:szCs w:val="20"/>
              </w:rPr>
              <w:t xml:space="preserve">Wang &amp; Baker; </w:t>
            </w:r>
            <w:r w:rsidRPr="00C67178">
              <w:rPr>
                <w:rFonts w:asciiTheme="minorHAnsi" w:eastAsiaTheme="minorHAnsi" w:hAnsiTheme="minorHAnsi"/>
                <w:sz w:val="20"/>
                <w:szCs w:val="20"/>
              </w:rPr>
              <w:t>White &amp; Weiner, 2004</w:t>
            </w:r>
          </w:p>
          <w:p w:rsidR="00A2612C" w:rsidRPr="00C67178" w:rsidRDefault="00A2612C" w:rsidP="0047170E">
            <w:pPr>
              <w:rPr>
                <w:rFonts w:asciiTheme="minorHAnsi" w:eastAsiaTheme="minorHAnsi" w:hAnsiTheme="minorHAnsi"/>
                <w:sz w:val="20"/>
                <w:szCs w:val="20"/>
              </w:rPr>
            </w:pP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Exit Exam Requirements/ High School Diploma Status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Students who received a high school diploma were more likely to participate in postsecondary education</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Students who had high scores on adaptive and academic skills, self-care skills, GPA on academic activities, received a diploma, and higher IQs as reported in school records were more likely to live independently and be engaged in post-school employment</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graduated with a diploma (versus a certificate) were more likely to be engaged in post-school employment </w:t>
            </w:r>
          </w:p>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high GPA at graduation were more likely to have high GPA in post-school education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327623">
            <w:pPr>
              <w:ind w:left="0" w:firstLine="0"/>
              <w:rPr>
                <w:rFonts w:asciiTheme="minorHAnsi" w:eastAsiaTheme="minorHAnsi" w:hAnsiTheme="minorHAnsi"/>
                <w:sz w:val="20"/>
                <w:szCs w:val="20"/>
              </w:rPr>
            </w:pPr>
            <w:r w:rsidRPr="00657AF0">
              <w:rPr>
                <w:rFonts w:asciiTheme="minorHAnsi" w:eastAsiaTheme="minorHAnsi" w:hAnsiTheme="minorHAnsi"/>
                <w:sz w:val="20"/>
                <w:szCs w:val="20"/>
              </w:rPr>
              <w:t xml:space="preserve">DaDeppo, 2009; Harvey, 2002; </w:t>
            </w:r>
            <w:r w:rsidRPr="00C67178">
              <w:rPr>
                <w:rFonts w:asciiTheme="minorHAnsi" w:eastAsiaTheme="minorHAnsi" w:hAnsiTheme="minorHAnsi"/>
                <w:sz w:val="20"/>
                <w:szCs w:val="20"/>
              </w:rPr>
              <w:t>Heal &amp; Rusch, 1994; Heal &amp; Rusch, 1995; Rabren et al., 2002</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Program of Study</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school-based programs that included career major (“sequence of courses based on occupational goal”), cooperative education (“combines academic and vocational studies with a job in a related field”), school-sponsored enterprise (“involves the production of goods or services by students for sale to or use by others”) and technical preparation (“a planned program of study with a defined career focus that links secondary and post-secondary education”) were 1.2 times more likely to be engaged in post-school employment </w:t>
            </w:r>
          </w:p>
        </w:tc>
        <w:tc>
          <w:tcPr>
            <w:tcW w:w="887" w:type="pct"/>
            <w:tcBorders>
              <w:top w:val="single" w:sz="4" w:space="0" w:color="000000"/>
              <w:left w:val="single" w:sz="4" w:space="0" w:color="000000"/>
              <w:bottom w:val="single" w:sz="4" w:space="0" w:color="000000"/>
              <w:right w:val="single" w:sz="4" w:space="0" w:color="000000"/>
            </w:tcBorders>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hAnsiTheme="minorHAnsi"/>
                <w:sz w:val="20"/>
                <w:szCs w:val="20"/>
              </w:rPr>
              <w:t>Shandra &amp; Hogan, 2008</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Transition Program</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The Youth Transition Program’s (YTP) goal is to improve participant’s post school outcomes by preparing them for meaningful competitive employment or career related post secondary training. Through the YTP students receive (a) transition planning focused on post school goals, (b) instruction in academic, vocational and independent living and personal social areas, (c) paid job training while in the program, and assistance to secure employment or enter postsecondary education upon leaving the program; and (d) follow up support for up to 2 years after leaving the program to help youth negotiate the uncertainties of the transition </w:t>
            </w:r>
            <w:r w:rsidRPr="00C67178">
              <w:rPr>
                <w:rFonts w:asciiTheme="minorHAnsi" w:eastAsiaTheme="minorHAnsi" w:hAnsiTheme="minorHAnsi"/>
                <w:sz w:val="20"/>
                <w:szCs w:val="20"/>
              </w:rPr>
              <w:lastRenderedPageBreak/>
              <w:t xml:space="preserve">years.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the YTP with 4+ transition goals met were more likely to be engaged in post-school employment or education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received transition planning services (compared to those who did not) during the year prior to leaving school were more likely to be engaged in post-school education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 xml:space="preserve">Transition service characteristics (i.e., Assoc. of Retarded Citizens, Department of Children and Families, Developmental Services, Division of Blind Services, DVR Rehab, Easter Seal, Job Service of FL, Job Training, Mental Health, Social Security Initiatives, United Cerebral Palsy) were significantly positively correlated with the rate of exiters found in postsecondary education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 xml:space="preserve">Transition support characteristics (i.e., Agency Referral FU, Case Management, Community Services; Employment Spec. Equipment, Family Services, Financial, Guardianship, Guidance/Counseling, Living Arrangement, Medical, Parent Information, Referral, Social/Leisure, Support Service, Teacher Resources, Transition Spec., Transportation) were significantly positively correlated with the rate of exiters found in postsecondary education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 xml:space="preserve">Transition program characteristics (i.e., academic, adult ed. Career education, college, community training, course mod. developmental train. employment, entrepreneurship, follow-up services, goodwill, job coach, job corp, life skills, military, vocational training, voc eval/assess) were significantly positively correlated with the rate of exiters found in postsecondary education </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Students with EBD, who received TIP-based transition services, were more than three times more likely than youth with EBD, who did not receive TIP services, to be engaged in post-school education</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Students who participated in the Transition Service Integration Model were more likely to be engaged in post-school employment</w:t>
            </w:r>
          </w:p>
          <w:p w:rsidR="00A2612C" w:rsidRPr="00C67178" w:rsidRDefault="00A2612C" w:rsidP="00C555FB">
            <w:pPr>
              <w:pStyle w:val="ListParagraph"/>
              <w:numPr>
                <w:ilvl w:val="0"/>
                <w:numId w:val="7"/>
              </w:numPr>
              <w:rPr>
                <w:rFonts w:asciiTheme="minorHAnsi" w:eastAsiaTheme="minorHAnsi" w:hAnsiTheme="minorHAnsi"/>
                <w:sz w:val="20"/>
                <w:szCs w:val="20"/>
              </w:rPr>
            </w:pPr>
            <w:r w:rsidRPr="00C67178">
              <w:rPr>
                <w:rFonts w:asciiTheme="minorHAnsi" w:eastAsiaTheme="minorHAnsi" w:hAnsiTheme="minorHAnsi"/>
                <w:sz w:val="20"/>
                <w:szCs w:val="20"/>
              </w:rPr>
              <w:t>Students who participated in transition programs that included student involvement in the IEP, skill development, and opportunities for self-advocacy and self-determination, postsecondary education preparation, independent living preparation, and career preparation had higher postsecondary self-determination skills as measured by the Psychological Empowerment subscale of the ARC’s Self-Determination Scale (Wehmeyer &amp; Kelchner, 1995), the How I feel About Myself Scale (Rehfeldt, 2006), and the Adult Trait Hope Scale (Snyder et al., 1991)</w:t>
            </w:r>
          </w:p>
        </w:tc>
        <w:tc>
          <w:tcPr>
            <w:tcW w:w="887" w:type="pct"/>
            <w:tcBorders>
              <w:top w:val="single" w:sz="4" w:space="0" w:color="000000"/>
              <w:left w:val="single" w:sz="4" w:space="0" w:color="000000"/>
              <w:bottom w:val="single" w:sz="4" w:space="0" w:color="000000"/>
              <w:right w:val="single" w:sz="4" w:space="0" w:color="000000"/>
            </w:tcBorders>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lastRenderedPageBreak/>
              <w:t>Benz et al., 2000; Certo et al., 200</w:t>
            </w:r>
            <w:r w:rsidR="00327623">
              <w:rPr>
                <w:rFonts w:asciiTheme="minorHAnsi" w:eastAsiaTheme="minorHAnsi" w:hAnsiTheme="minorHAnsi"/>
                <w:sz w:val="20"/>
                <w:szCs w:val="20"/>
              </w:rPr>
              <w:t>5</w:t>
            </w:r>
            <w:r w:rsidRPr="00C67178">
              <w:rPr>
                <w:rFonts w:asciiTheme="minorHAnsi" w:eastAsiaTheme="minorHAnsi" w:hAnsiTheme="minorHAnsi"/>
                <w:sz w:val="20"/>
                <w:szCs w:val="20"/>
              </w:rPr>
              <w:t>; Halpern et al., 1995; Karpur, Clark, Caproni, &amp; Sterner, 2005; Morningstar et al., 2010; Repetto et al., 2002</w:t>
            </w:r>
          </w:p>
          <w:p w:rsidR="00A2612C" w:rsidRPr="00C67178" w:rsidRDefault="00A2612C" w:rsidP="0047170E">
            <w:pPr>
              <w:rPr>
                <w:rFonts w:asciiTheme="minorHAnsi" w:eastAsiaTheme="minorHAnsi" w:hAnsiTheme="minorHAnsi"/>
                <w:sz w:val="20"/>
                <w:szCs w:val="20"/>
                <w:vertAlign w:val="superscript"/>
              </w:rPr>
            </w:pPr>
          </w:p>
        </w:tc>
      </w:tr>
      <w:tr w:rsidR="00A2612C" w:rsidRPr="00C67178" w:rsidTr="0047170E">
        <w:trPr>
          <w:trHeight w:val="719"/>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Occupational Courses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passed more than half or all courses in 8 curriculum areas (remedial academics, traditional content classes, personal finance, community access, behaving responsibly, goal-setting or problem solving, specialized vocational education, regular vocational education) were more likely to be engaged in postsecondary education </w:t>
            </w:r>
          </w:p>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Students who participated successfully in Occupational Skills Training (OST) program services which included characteristics: individualized design, work-site based curriculum, and a focus on the existing labor market and employment, were more likely to higher wages and worked more hours per quarter.</w:t>
            </w:r>
          </w:p>
        </w:tc>
        <w:tc>
          <w:tcPr>
            <w:tcW w:w="887" w:type="pct"/>
            <w:tcBorders>
              <w:top w:val="single" w:sz="4" w:space="0" w:color="000000"/>
              <w:left w:val="single" w:sz="4" w:space="0" w:color="000000"/>
              <w:bottom w:val="single" w:sz="4" w:space="0" w:color="000000"/>
              <w:right w:val="single" w:sz="4" w:space="0" w:color="000000"/>
            </w:tcBorders>
          </w:tcPr>
          <w:p w:rsidR="00A2612C" w:rsidRPr="00C67178" w:rsidRDefault="00A2612C" w:rsidP="0047170E">
            <w:pPr>
              <w:ind w:left="0" w:firstLine="0"/>
              <w:rPr>
                <w:rFonts w:asciiTheme="minorHAnsi" w:eastAsiaTheme="minorHAnsi" w:hAnsiTheme="minorHAnsi"/>
                <w:sz w:val="20"/>
                <w:szCs w:val="20"/>
                <w:vertAlign w:val="superscript"/>
              </w:rPr>
            </w:pPr>
            <w:r w:rsidRPr="00C67178">
              <w:rPr>
                <w:rFonts w:asciiTheme="minorHAnsi" w:eastAsiaTheme="minorHAnsi" w:hAnsiTheme="minorHAnsi"/>
                <w:sz w:val="20"/>
                <w:szCs w:val="20"/>
              </w:rPr>
              <w:lastRenderedPageBreak/>
              <w:t>Flannery et al., 2008; Halpern et al., 1995</w:t>
            </w:r>
          </w:p>
          <w:p w:rsidR="00A2612C" w:rsidRPr="00C67178" w:rsidRDefault="00A2612C" w:rsidP="0047170E">
            <w:pPr>
              <w:rPr>
                <w:rFonts w:asciiTheme="minorHAnsi" w:eastAsiaTheme="minorHAnsi" w:hAnsiTheme="minorHAnsi"/>
                <w:sz w:val="20"/>
                <w:szCs w:val="20"/>
              </w:rPr>
            </w:pP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Paid Work Experience</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the Youth Transition Program (Oregon) with 2 or more paid jobs during high school were more likely to be engaged in post-school employment or education </w:t>
            </w:r>
          </w:p>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in the School to Work Transition Program (Oregon) who had 2 or more jobs during the last two years of high school were more likely to be engaged in post-school employment </w:t>
            </w:r>
          </w:p>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worked for pay during high school for a full year were more likely to be living independently </w:t>
            </w:r>
          </w:p>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two or more jobs during their last two years of high school were more likely to be engaged in post-school employment </w:t>
            </w:r>
          </w:p>
          <w:p w:rsidR="00A2612C" w:rsidRPr="00C67178" w:rsidRDefault="00A2612C" w:rsidP="00C555FB">
            <w:pPr>
              <w:pStyle w:val="ListParagraph"/>
              <w:numPr>
                <w:ilvl w:val="0"/>
                <w:numId w:val="8"/>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a job at the time of high school exit were 5.1 times more likely to be engaged in post-school employment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 xml:space="preserve">Benz et al., 1997; Benz et al., 2000; Bullis et al., 1995; </w:t>
            </w:r>
            <w:r w:rsidR="00327623">
              <w:rPr>
                <w:rFonts w:asciiTheme="minorHAnsi" w:eastAsiaTheme="minorHAnsi" w:hAnsiTheme="minorHAnsi"/>
                <w:sz w:val="20"/>
                <w:szCs w:val="20"/>
              </w:rPr>
              <w:t xml:space="preserve">Cater et al., 2011; </w:t>
            </w:r>
            <w:r w:rsidRPr="00C67178">
              <w:rPr>
                <w:rFonts w:asciiTheme="minorHAnsi" w:eastAsiaTheme="minorHAnsi" w:hAnsiTheme="minorHAnsi"/>
                <w:sz w:val="20"/>
                <w:szCs w:val="20"/>
              </w:rPr>
              <w:t xml:space="preserve">Doren &amp; Benz, 1998; </w:t>
            </w:r>
            <w:r w:rsidR="00327623">
              <w:rPr>
                <w:rFonts w:asciiTheme="minorHAnsi" w:eastAsiaTheme="minorHAnsi" w:hAnsiTheme="minorHAnsi"/>
                <w:sz w:val="20"/>
                <w:szCs w:val="20"/>
              </w:rPr>
              <w:t xml:space="preserve">McDonnal, 2010; </w:t>
            </w:r>
            <w:r w:rsidRPr="00C67178">
              <w:rPr>
                <w:rFonts w:asciiTheme="minorHAnsi" w:eastAsiaTheme="minorHAnsi" w:hAnsiTheme="minorHAnsi"/>
                <w:sz w:val="20"/>
                <w:szCs w:val="20"/>
              </w:rPr>
              <w:t>Rabren et al., 2002</w:t>
            </w:r>
            <w:r w:rsidRPr="00C67178">
              <w:rPr>
                <w:rFonts w:asciiTheme="minorHAnsi" w:eastAsiaTheme="minorHAnsi" w:hAnsiTheme="minorHAnsi"/>
                <w:sz w:val="20"/>
                <w:szCs w:val="20"/>
                <w:vertAlign w:val="superscript"/>
              </w:rPr>
              <w:t xml:space="preserve"> </w:t>
            </w: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A2612C" w:rsidRPr="00C67178" w:rsidTr="0047170E">
        <w:trPr>
          <w:trHeight w:val="710"/>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Vocational Education</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9"/>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vocational education were 2 times more likely to be engaged in full-time employment </w:t>
            </w:r>
          </w:p>
          <w:p w:rsidR="00A2612C" w:rsidRPr="00C67178" w:rsidRDefault="00A2612C" w:rsidP="00C555FB">
            <w:pPr>
              <w:pStyle w:val="ListParagraph"/>
              <w:numPr>
                <w:ilvl w:val="0"/>
                <w:numId w:val="9"/>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passed more than half or all courses in 8 curriculum areas (remedial academics, traditional content classes, personal finance, community access, behaving responsibly, goal-setting or problem solving, specialized vocational education, regular vocational education) were more likely to be engaged in postsecondary education </w:t>
            </w:r>
          </w:p>
          <w:p w:rsidR="00A2612C" w:rsidRPr="00C67178" w:rsidRDefault="00A2612C" w:rsidP="00C555FB">
            <w:pPr>
              <w:pStyle w:val="ListParagraph"/>
              <w:numPr>
                <w:ilvl w:val="0"/>
                <w:numId w:val="9"/>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vocational education credits in high school (versus those with none) were more likely to be engaged in post-school employment and post-school education </w:t>
            </w:r>
          </w:p>
          <w:p w:rsidR="00A2612C" w:rsidRPr="00C67178" w:rsidRDefault="00A2612C" w:rsidP="00C555FB">
            <w:pPr>
              <w:pStyle w:val="ListParagraph"/>
              <w:numPr>
                <w:ilvl w:val="0"/>
                <w:numId w:val="9"/>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received technology training were more than twice as likely to be employed than those who did not receive technology training </w:t>
            </w:r>
          </w:p>
          <w:p w:rsidR="00A2612C" w:rsidRPr="00C67178" w:rsidRDefault="00A2612C" w:rsidP="00C555FB">
            <w:pPr>
              <w:pStyle w:val="ListParagraph"/>
              <w:numPr>
                <w:ilvl w:val="0"/>
                <w:numId w:val="9"/>
              </w:numPr>
              <w:rPr>
                <w:rFonts w:asciiTheme="minorHAnsi" w:eastAsiaTheme="minorHAnsi" w:hAnsiTheme="minorHAnsi"/>
                <w:sz w:val="20"/>
                <w:szCs w:val="20"/>
              </w:rPr>
            </w:pPr>
            <w:r w:rsidRPr="00C67178">
              <w:rPr>
                <w:rFonts w:asciiTheme="minorHAnsi" w:eastAsiaTheme="minorHAnsi" w:hAnsiTheme="minorHAnsi"/>
                <w:sz w:val="20"/>
                <w:szCs w:val="20"/>
              </w:rPr>
              <w:t>Vocational courses (CTE) improved later earnings for those students who enrolled in postsecondary education or training</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 xml:space="preserve">Baer et al., 2003; </w:t>
            </w:r>
            <w:r w:rsidR="00327623">
              <w:rPr>
                <w:rFonts w:asciiTheme="minorHAnsi" w:eastAsiaTheme="minorHAnsi" w:hAnsiTheme="minorHAnsi"/>
                <w:sz w:val="20"/>
                <w:szCs w:val="20"/>
              </w:rPr>
              <w:t xml:space="preserve">Baker &amp; Popowics, 1983; Berg, 2003; </w:t>
            </w:r>
            <w:r w:rsidRPr="00C67178">
              <w:rPr>
                <w:rFonts w:asciiTheme="minorHAnsi" w:eastAsiaTheme="minorHAnsi" w:hAnsiTheme="minorHAnsi"/>
                <w:sz w:val="20"/>
                <w:szCs w:val="20"/>
              </w:rPr>
              <w:t xml:space="preserve">Halpern et al., 1995; Harvey, 2002; Leonard et al., 1999; </w:t>
            </w:r>
            <w:r w:rsidR="00327623">
              <w:rPr>
                <w:rFonts w:asciiTheme="minorHAnsi" w:eastAsiaTheme="minorHAnsi" w:hAnsiTheme="minorHAnsi"/>
                <w:sz w:val="20"/>
                <w:szCs w:val="20"/>
              </w:rPr>
              <w:t xml:space="preserve">Oliver &amp; Spokane, 1988; </w:t>
            </w:r>
            <w:r w:rsidRPr="00C67178">
              <w:rPr>
                <w:rFonts w:asciiTheme="minorHAnsi" w:eastAsiaTheme="minorHAnsi" w:hAnsiTheme="minorHAnsi"/>
                <w:sz w:val="20"/>
                <w:szCs w:val="20"/>
              </w:rPr>
              <w:t>Silverberg et al., 2004</w:t>
            </w:r>
            <w:r w:rsidRPr="00C67178">
              <w:rPr>
                <w:rFonts w:asciiTheme="minorHAnsi" w:eastAsiaTheme="minorHAnsi" w:hAnsiTheme="minorHAnsi"/>
                <w:sz w:val="20"/>
                <w:szCs w:val="20"/>
                <w:vertAlign w:val="superscript"/>
              </w:rPr>
              <w:t xml:space="preserve"> </w:t>
            </w: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Work Study</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0"/>
              </w:numPr>
              <w:rPr>
                <w:rFonts w:asciiTheme="minorHAnsi" w:eastAsiaTheme="minorHAnsi" w:hAnsiTheme="minorHAnsi"/>
                <w:sz w:val="20"/>
                <w:szCs w:val="20"/>
              </w:rPr>
            </w:pPr>
            <w:r w:rsidRPr="00C67178">
              <w:rPr>
                <w:rFonts w:asciiTheme="minorHAnsi" w:eastAsiaTheme="minorHAnsi" w:hAnsiTheme="minorHAnsi"/>
                <w:sz w:val="20"/>
                <w:szCs w:val="20"/>
              </w:rPr>
              <w:t xml:space="preserve">Participation in work study increased the likelihood of full-time employment more than two times </w:t>
            </w:r>
          </w:p>
          <w:p w:rsidR="00A2612C" w:rsidRPr="00C67178" w:rsidRDefault="00A2612C" w:rsidP="00C555FB">
            <w:pPr>
              <w:pStyle w:val="ListParagraph"/>
              <w:numPr>
                <w:ilvl w:val="0"/>
                <w:numId w:val="10"/>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in the Bridges School to Work Program who completed the internship were more likely to accept a post-school job offer </w:t>
            </w:r>
          </w:p>
          <w:p w:rsidR="00A2612C" w:rsidRPr="00C67178" w:rsidRDefault="00A2612C" w:rsidP="00C555FB">
            <w:pPr>
              <w:pStyle w:val="ListParagraph"/>
              <w:numPr>
                <w:ilvl w:val="0"/>
                <w:numId w:val="10"/>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the Bridges program in their last year of high school and completed the internship were 4 times more likely to be employed </w:t>
            </w:r>
          </w:p>
          <w:p w:rsidR="00A2612C" w:rsidRPr="00C67178" w:rsidRDefault="00A2612C" w:rsidP="00C555FB">
            <w:pPr>
              <w:pStyle w:val="ListParagraph"/>
              <w:numPr>
                <w:ilvl w:val="0"/>
                <w:numId w:val="10"/>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received a job offer after completion of the Bridges internship were five times more likely to be employed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 xml:space="preserve">Baer et al., 2003; Fabian et al., 1998; Luecking &amp; Fabian, 2000 </w:t>
            </w: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Career Awareness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1"/>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in the School to Work Transition Program (Oregon) who exited school with high job search skills were more likely to be engaged in post-school employment </w:t>
            </w:r>
          </w:p>
          <w:p w:rsidR="00A2612C" w:rsidRPr="00C67178" w:rsidRDefault="00A2612C" w:rsidP="00C555FB">
            <w:pPr>
              <w:pStyle w:val="ListParagraph"/>
              <w:numPr>
                <w:ilvl w:val="0"/>
                <w:numId w:val="11"/>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in the School to Work Transition Program (Oregon) who exited school with high career awareness skills were more likely to be engaged in post-school employment or education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rPr>
              <w:t>Benz et al. 1997</w:t>
            </w:r>
            <w:r w:rsidRPr="00C67178">
              <w:rPr>
                <w:rFonts w:asciiTheme="minorHAnsi" w:eastAsiaTheme="minorHAnsi" w:hAnsiTheme="minorHAnsi"/>
                <w:sz w:val="20"/>
                <w:szCs w:val="20"/>
                <w:vertAlign w:val="superscript"/>
              </w:rPr>
              <w:t xml:space="preserve"> </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Community Experiences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participated in community-based training which involved instruction in non-school, natural environments focused on development of social skills, domestic skills, accessing public transportation and on-the-job training were more likely to be engaged in post-school employment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White &amp; Weiner, 2004</w:t>
            </w:r>
            <w:r w:rsidRPr="00C67178">
              <w:rPr>
                <w:rFonts w:asciiTheme="minorHAnsi" w:eastAsiaTheme="minorHAnsi" w:hAnsiTheme="minorHAnsi"/>
                <w:sz w:val="20"/>
                <w:szCs w:val="20"/>
                <w:vertAlign w:val="superscript"/>
              </w:rPr>
              <w:t xml:space="preserve"> </w:t>
            </w: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Self-Advocacy/Self-Determination</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2"/>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passed more than half or all courses in 8 curriculum areas (remedial academics, traditional content classes, personal finance, community access, behaving responsibly, goal-setting or problem solving, specialized vocational education, regular vocational education) were more likely to be engaged in postsecondary education </w:t>
            </w:r>
          </w:p>
          <w:p w:rsidR="00A2612C" w:rsidRPr="00C67178" w:rsidRDefault="00A2612C" w:rsidP="00C555FB">
            <w:pPr>
              <w:pStyle w:val="ListParagraph"/>
              <w:numPr>
                <w:ilvl w:val="0"/>
                <w:numId w:val="12"/>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higher self-determination skills were more likely be engaged in post-school employment and independent living </w:t>
            </w:r>
          </w:p>
          <w:p w:rsidR="00A2612C" w:rsidRPr="00C67178" w:rsidRDefault="00A2612C" w:rsidP="00C555FB">
            <w:pPr>
              <w:pStyle w:val="ListParagraph"/>
              <w:numPr>
                <w:ilvl w:val="0"/>
                <w:numId w:val="12"/>
              </w:numPr>
              <w:rPr>
                <w:rFonts w:asciiTheme="minorHAnsi" w:eastAsiaTheme="minorHAnsi" w:hAnsiTheme="minorHAnsi"/>
                <w:sz w:val="20"/>
                <w:szCs w:val="20"/>
              </w:rPr>
            </w:pPr>
            <w:r w:rsidRPr="00C67178">
              <w:rPr>
                <w:rFonts w:asciiTheme="minorHAnsi" w:eastAsiaTheme="minorHAnsi" w:hAnsiTheme="minorHAnsi"/>
                <w:sz w:val="20"/>
                <w:szCs w:val="20"/>
              </w:rPr>
              <w:t>Students who participated in self-determination skill development programs had higher postsecondary self-determination skills as measured by the Psychological Empowerment subscale of the ARC’s Self-Determination Scale (Wehmeyer &amp; Kelchner, 1995), the How I feel About Myself Scale (Rehfeldt, 2006), and the Adult Trait Hope Scale (Snyder et al., 1991)</w:t>
            </w:r>
          </w:p>
        </w:tc>
        <w:tc>
          <w:tcPr>
            <w:tcW w:w="887" w:type="pct"/>
            <w:tcBorders>
              <w:top w:val="single" w:sz="4" w:space="0" w:color="000000"/>
              <w:left w:val="single" w:sz="4" w:space="0" w:color="000000"/>
              <w:bottom w:val="single" w:sz="4" w:space="0" w:color="000000"/>
              <w:right w:val="single" w:sz="4" w:space="0" w:color="000000"/>
            </w:tcBorders>
          </w:tcPr>
          <w:p w:rsidR="00737A0A"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 xml:space="preserve">Halpern et al., 1995; </w:t>
            </w:r>
          </w:p>
          <w:p w:rsidR="00737A0A" w:rsidRDefault="00737A0A" w:rsidP="00737A0A">
            <w:pPr>
              <w:pStyle w:val="Default"/>
              <w:rPr>
                <w:sz w:val="20"/>
                <w:szCs w:val="20"/>
              </w:rPr>
            </w:pPr>
            <w:r>
              <w:rPr>
                <w:sz w:val="20"/>
                <w:szCs w:val="20"/>
              </w:rPr>
              <w:t>Hansford &amp; Hattie, 1982; Holder, Moncher, Schinke, &amp; Barker, 1990; McDougall, Evans, &amp; Baldwin, 2010;</w:t>
            </w:r>
          </w:p>
          <w:p w:rsidR="00737A0A" w:rsidRDefault="00737A0A" w:rsidP="00737A0A">
            <w:pPr>
              <w:pStyle w:val="Default"/>
              <w:rPr>
                <w:sz w:val="20"/>
                <w:szCs w:val="20"/>
              </w:rPr>
            </w:pPr>
            <w:r w:rsidRPr="00C67178">
              <w:rPr>
                <w:rFonts w:asciiTheme="minorHAnsi" w:eastAsiaTheme="minorHAnsi" w:hAnsiTheme="minorHAnsi"/>
                <w:sz w:val="20"/>
                <w:szCs w:val="20"/>
              </w:rPr>
              <w:t xml:space="preserve">Morningstar et al., 2010; </w:t>
            </w:r>
            <w:r>
              <w:rPr>
                <w:sz w:val="20"/>
                <w:szCs w:val="20"/>
              </w:rPr>
              <w:t xml:space="preserve"> Valentine, DuBois, &amp; Cooper, 2004; </w:t>
            </w:r>
          </w:p>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Wehmeyer &amp; Schwartz, 1997</w:t>
            </w:r>
            <w:r w:rsidRPr="00C67178">
              <w:rPr>
                <w:rFonts w:asciiTheme="minorHAnsi" w:eastAsiaTheme="minorHAnsi" w:hAnsiTheme="minorHAnsi"/>
                <w:sz w:val="20"/>
                <w:szCs w:val="20"/>
                <w:vertAlign w:val="superscript"/>
              </w:rPr>
              <w:t xml:space="preserve"> </w:t>
            </w:r>
          </w:p>
          <w:p w:rsidR="00A2612C" w:rsidRPr="00C67178" w:rsidRDefault="00A2612C" w:rsidP="0047170E">
            <w:pPr>
              <w:rPr>
                <w:rFonts w:asciiTheme="minorHAnsi" w:eastAsiaTheme="minorHAnsi" w:hAnsiTheme="minorHAnsi"/>
                <w:sz w:val="20"/>
                <w:szCs w:val="20"/>
                <w:vertAlign w:val="superscript"/>
              </w:rPr>
            </w:pPr>
          </w:p>
        </w:tc>
      </w:tr>
      <w:tr w:rsidR="00A2612C" w:rsidRPr="00C67178" w:rsidTr="0047170E">
        <w:trPr>
          <w:trHeight w:val="1241"/>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Self-Care/Independent Living Skills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3"/>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high scores on adaptive and academic skills, self-care skills, GPA on academic activities, received a diploma, and higher IQs as reported in school records were more likely to live independently and be engaged in post-school employment </w:t>
            </w:r>
          </w:p>
          <w:p w:rsidR="00A2612C" w:rsidRPr="00C67178" w:rsidRDefault="00A2612C" w:rsidP="00C555FB">
            <w:pPr>
              <w:pStyle w:val="ListParagraph"/>
              <w:numPr>
                <w:ilvl w:val="0"/>
                <w:numId w:val="13"/>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high self-care skills were more likely to be engaged in post-school education, employment, and independent living </w:t>
            </w:r>
          </w:p>
          <w:p w:rsidR="00A2612C" w:rsidRPr="00C67178" w:rsidRDefault="00A2612C" w:rsidP="00C555FB">
            <w:pPr>
              <w:pStyle w:val="ListParagraph"/>
              <w:numPr>
                <w:ilvl w:val="0"/>
                <w:numId w:val="13"/>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high daily living skills (based on teacher and student ratings from the Life Centered Career Education rating scales) were more likely to have higher quality of life (independent living) and be engaged in post-school employment </w:t>
            </w:r>
          </w:p>
          <w:p w:rsidR="00A2612C" w:rsidRPr="00C67178" w:rsidRDefault="00A2612C" w:rsidP="00C555FB">
            <w:pPr>
              <w:pStyle w:val="ListParagraph"/>
              <w:numPr>
                <w:ilvl w:val="0"/>
                <w:numId w:val="13"/>
              </w:numPr>
              <w:rPr>
                <w:rFonts w:asciiTheme="minorHAnsi" w:eastAsiaTheme="minorHAnsi" w:hAnsiTheme="minorHAnsi"/>
                <w:sz w:val="20"/>
                <w:szCs w:val="20"/>
              </w:rPr>
            </w:pPr>
            <w:r w:rsidRPr="00C67178">
              <w:rPr>
                <w:rFonts w:asciiTheme="minorHAnsi" w:eastAsiaTheme="minorHAnsi" w:hAnsiTheme="minorHAnsi"/>
                <w:sz w:val="20"/>
                <w:szCs w:val="20"/>
              </w:rPr>
              <w:t>Students with strength-based adaptive behavior skills were more likely to be engaged in post-school independent living</w:t>
            </w:r>
          </w:p>
        </w:tc>
        <w:tc>
          <w:tcPr>
            <w:tcW w:w="887" w:type="pct"/>
            <w:tcBorders>
              <w:top w:val="single" w:sz="4" w:space="0" w:color="000000"/>
              <w:left w:val="single" w:sz="4" w:space="0" w:color="000000"/>
              <w:bottom w:val="single" w:sz="4" w:space="0" w:color="000000"/>
              <w:right w:val="single" w:sz="4" w:space="0" w:color="000000"/>
            </w:tcBorders>
          </w:tcPr>
          <w:p w:rsidR="00737A0A"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 xml:space="preserve">Armstrong, Dedrick, &amp; Greenbaum, 2003; Blackorby et al., 1993; </w:t>
            </w:r>
          </w:p>
          <w:p w:rsidR="00737A0A" w:rsidRDefault="00737A0A" w:rsidP="00737A0A">
            <w:pPr>
              <w:pStyle w:val="Default"/>
              <w:rPr>
                <w:sz w:val="20"/>
                <w:szCs w:val="20"/>
              </w:rPr>
            </w:pPr>
            <w:r>
              <w:rPr>
                <w:sz w:val="20"/>
                <w:szCs w:val="20"/>
              </w:rPr>
              <w:t>Carter et al., 2011;</w:t>
            </w:r>
          </w:p>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t>Heal &amp; Rusch, 1994; Heal &amp; Rusch, 1995; Roessler et al., 1990</w:t>
            </w:r>
          </w:p>
          <w:p w:rsidR="00A2612C" w:rsidRPr="00C67178" w:rsidRDefault="00A2612C" w:rsidP="0047170E">
            <w:pPr>
              <w:rPr>
                <w:rFonts w:asciiTheme="minorHAnsi" w:eastAsiaTheme="minorHAnsi" w:hAnsiTheme="minorHAnsi"/>
                <w:sz w:val="20"/>
                <w:szCs w:val="20"/>
              </w:rPr>
            </w:pPr>
          </w:p>
          <w:p w:rsidR="00A2612C" w:rsidRPr="00C67178" w:rsidRDefault="00A2612C" w:rsidP="0047170E">
            <w:pPr>
              <w:rPr>
                <w:rFonts w:asciiTheme="minorHAnsi" w:eastAsiaTheme="minorHAnsi" w:hAnsiTheme="minorHAnsi"/>
                <w:sz w:val="20"/>
                <w:szCs w:val="20"/>
              </w:rPr>
            </w:pPr>
          </w:p>
        </w:tc>
      </w:tr>
      <w:tr w:rsidR="00A2612C" w:rsidRPr="00C67178" w:rsidTr="0047170E">
        <w:trPr>
          <w:trHeight w:val="1160"/>
        </w:trPr>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Social Skills</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4"/>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in the School to Work Transition Program (Oregon) who exited high school with high social skills at exit were more likely to be engaged in post-school employment </w:t>
            </w:r>
          </w:p>
          <w:p w:rsidR="00A2612C" w:rsidRPr="00C67178" w:rsidRDefault="00A2612C" w:rsidP="00C555FB">
            <w:pPr>
              <w:pStyle w:val="ListParagraph"/>
              <w:numPr>
                <w:ilvl w:val="0"/>
                <w:numId w:val="14"/>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passed more than half or all courses in 8 curriculum areas (remedial academics, traditional content classes, personal finance, community access, behaving responsibly, goal-setting or problem solving, specialized </w:t>
            </w:r>
            <w:r w:rsidRPr="00C67178">
              <w:rPr>
                <w:rFonts w:asciiTheme="minorHAnsi" w:eastAsiaTheme="minorHAnsi" w:hAnsiTheme="minorHAnsi"/>
                <w:sz w:val="20"/>
                <w:szCs w:val="20"/>
              </w:rPr>
              <w:lastRenderedPageBreak/>
              <w:t xml:space="preserve">vocational education, regular vocational education) were more likely to be engaged in postsecondary education </w:t>
            </w:r>
          </w:p>
          <w:p w:rsidR="00A2612C" w:rsidRPr="00C67178" w:rsidRDefault="00A2612C" w:rsidP="00C555FB">
            <w:pPr>
              <w:pStyle w:val="ListParagraph"/>
              <w:numPr>
                <w:ilvl w:val="0"/>
                <w:numId w:val="14"/>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with high social skills (based on teacher ratings from the Life Centered Career Education rating scales) were more likely to have higher quality of life (independent living) and be engaged in post-school employment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47170E">
            <w:pPr>
              <w:ind w:left="0" w:firstLine="0"/>
              <w:rPr>
                <w:rFonts w:asciiTheme="minorHAnsi" w:eastAsiaTheme="minorHAnsi" w:hAnsiTheme="minorHAnsi"/>
                <w:sz w:val="20"/>
                <w:szCs w:val="20"/>
              </w:rPr>
            </w:pPr>
            <w:r w:rsidRPr="00C67178">
              <w:rPr>
                <w:rFonts w:asciiTheme="minorHAnsi" w:eastAsiaTheme="minorHAnsi" w:hAnsiTheme="minorHAnsi"/>
                <w:sz w:val="20"/>
                <w:szCs w:val="20"/>
              </w:rPr>
              <w:lastRenderedPageBreak/>
              <w:t xml:space="preserve">Benz et al. 1997; Halpern et al., 1995; Roessler et al., 1990 </w:t>
            </w: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A2612C" w:rsidRPr="00C67178" w:rsidTr="0047170E">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Parental Involvement</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5"/>
              </w:numPr>
              <w:rPr>
                <w:rFonts w:asciiTheme="minorHAnsi" w:eastAsiaTheme="minorHAnsi" w:hAnsiTheme="minorHAnsi"/>
                <w:sz w:val="20"/>
                <w:szCs w:val="20"/>
              </w:rPr>
            </w:pPr>
            <w:r w:rsidRPr="00C67178">
              <w:rPr>
                <w:rFonts w:asciiTheme="minorHAnsi" w:eastAsiaTheme="minorHAnsi" w:hAnsiTheme="minorHAnsi"/>
                <w:sz w:val="20"/>
                <w:szCs w:val="20"/>
              </w:rPr>
              <w:t>Students with one or more parents who participated (as measured by the percentage) in more IEP meetings during the 11</w:t>
            </w:r>
            <w:r w:rsidRPr="00C67178">
              <w:rPr>
                <w:rFonts w:asciiTheme="minorHAnsi" w:eastAsiaTheme="minorHAnsi" w:hAnsiTheme="minorHAnsi"/>
                <w:sz w:val="20"/>
                <w:szCs w:val="20"/>
                <w:vertAlign w:val="superscript"/>
              </w:rPr>
              <w:t>th</w:t>
            </w:r>
            <w:r w:rsidRPr="00C67178">
              <w:rPr>
                <w:rFonts w:asciiTheme="minorHAnsi" w:eastAsiaTheme="minorHAnsi" w:hAnsiTheme="minorHAnsi"/>
                <w:sz w:val="20"/>
                <w:szCs w:val="20"/>
              </w:rPr>
              <w:t xml:space="preserve"> and 12</w:t>
            </w:r>
            <w:r w:rsidRPr="00C67178">
              <w:rPr>
                <w:rFonts w:asciiTheme="minorHAnsi" w:eastAsiaTheme="minorHAnsi" w:hAnsiTheme="minorHAnsi"/>
                <w:sz w:val="20"/>
                <w:szCs w:val="20"/>
                <w:vertAlign w:val="superscript"/>
              </w:rPr>
              <w:t>th</w:t>
            </w:r>
            <w:r w:rsidRPr="00C67178">
              <w:rPr>
                <w:rFonts w:asciiTheme="minorHAnsi" w:eastAsiaTheme="minorHAnsi" w:hAnsiTheme="minorHAnsi"/>
                <w:sz w:val="20"/>
                <w:szCs w:val="20"/>
              </w:rPr>
              <w:t xml:space="preserve"> grade year were more likely to be engaged in post-school employment </w:t>
            </w:r>
          </w:p>
          <w:p w:rsidR="00A2612C" w:rsidRPr="00C67178" w:rsidRDefault="00A2612C" w:rsidP="00C555FB">
            <w:pPr>
              <w:pStyle w:val="ListParagraph"/>
              <w:numPr>
                <w:ilvl w:val="0"/>
                <w:numId w:val="15"/>
              </w:numPr>
              <w:rPr>
                <w:rFonts w:asciiTheme="minorHAnsi" w:eastAsiaTheme="minorHAnsi" w:hAnsiTheme="minorHAnsi"/>
                <w:sz w:val="20"/>
                <w:szCs w:val="20"/>
              </w:rPr>
            </w:pPr>
            <w:r w:rsidRPr="00C67178">
              <w:rPr>
                <w:rFonts w:asciiTheme="minorHAnsi" w:eastAsiaTheme="minorHAnsi" w:hAnsiTheme="minorHAnsi"/>
                <w:sz w:val="20"/>
                <w:szCs w:val="20"/>
              </w:rPr>
              <w:t>Students with positive perceptions of their parents’ involvement in the IEP meeting (e.g., active participants, provided some input, attended meetings but did not actively participate) had higher postsecondary self-determination skills as measured by the Psychological Empowerment subscale of the ARC’s Self-Determination Scale (Wehmeyer &amp; Kelchner, 1995), the How I feel About Myself Scale (Rehfeldt, 2006), and the Adult Trait Hope Scale (Snyder et al., 1991)</w:t>
            </w:r>
          </w:p>
          <w:p w:rsidR="00A2612C" w:rsidRPr="00C67178" w:rsidRDefault="00A2612C" w:rsidP="00C555FB">
            <w:pPr>
              <w:pStyle w:val="ListParagraph"/>
              <w:numPr>
                <w:ilvl w:val="0"/>
                <w:numId w:val="15"/>
              </w:numPr>
              <w:rPr>
                <w:rFonts w:asciiTheme="minorHAnsi" w:eastAsiaTheme="minorHAnsi" w:hAnsiTheme="minorHAnsi"/>
                <w:sz w:val="20"/>
                <w:szCs w:val="20"/>
              </w:rPr>
            </w:pPr>
            <w:r w:rsidRPr="00C67178">
              <w:rPr>
                <w:rFonts w:asciiTheme="minorHAnsi" w:eastAsiaTheme="minorHAnsi" w:hAnsiTheme="minorHAnsi"/>
                <w:sz w:val="20"/>
                <w:szCs w:val="20"/>
              </w:rPr>
              <w:t>Students with positive perceptions of activities parents involved them in to prepare them for postsecondary education had higher postsecondary self-determination skills as measured by the Psychological Empowerment subscale of the ARC’s Self-Determination Scale (Wehmeyer &amp; Kelchner, 1995), the How I feel About Myself Scale (Rehfeldt, 2006), and the Adult Trait Hope Scale (Snyder et al., 1991)</w:t>
            </w:r>
          </w:p>
          <w:p w:rsidR="00A2612C" w:rsidRPr="00C67178" w:rsidRDefault="00A2612C" w:rsidP="00C555FB">
            <w:pPr>
              <w:pStyle w:val="ListParagraph"/>
              <w:numPr>
                <w:ilvl w:val="0"/>
                <w:numId w:val="15"/>
              </w:numPr>
              <w:rPr>
                <w:rFonts w:asciiTheme="minorHAnsi" w:eastAsiaTheme="minorHAnsi" w:hAnsiTheme="minorHAnsi"/>
                <w:sz w:val="20"/>
                <w:szCs w:val="20"/>
              </w:rPr>
            </w:pPr>
            <w:r w:rsidRPr="00C67178">
              <w:rPr>
                <w:rFonts w:asciiTheme="minorHAnsi" w:eastAsiaTheme="minorHAnsi" w:hAnsiTheme="minorHAnsi"/>
                <w:sz w:val="20"/>
                <w:szCs w:val="20"/>
              </w:rPr>
              <w:t>Students with positive perceptions of career skills parents taught them had greater postsecondary self-determination skills</w:t>
            </w:r>
          </w:p>
          <w:p w:rsidR="00A2612C" w:rsidRPr="00C67178" w:rsidRDefault="00A2612C" w:rsidP="00C555FB">
            <w:pPr>
              <w:pStyle w:val="ListParagraph"/>
              <w:numPr>
                <w:ilvl w:val="0"/>
                <w:numId w:val="15"/>
              </w:numPr>
              <w:rPr>
                <w:rFonts w:asciiTheme="minorHAnsi" w:eastAsiaTheme="minorHAnsi" w:hAnsiTheme="minorHAnsi"/>
                <w:sz w:val="20"/>
                <w:szCs w:val="20"/>
              </w:rPr>
            </w:pPr>
            <w:r w:rsidRPr="00C67178">
              <w:rPr>
                <w:rFonts w:asciiTheme="minorHAnsi" w:eastAsiaTheme="minorHAnsi" w:hAnsiTheme="minorHAnsi"/>
                <w:sz w:val="20"/>
                <w:szCs w:val="20"/>
              </w:rPr>
              <w:t>Students with positive perceptions of independent living skills parents taught them had greater postsecondary self-determination skills as measured by the Psychological Empowerment subscale of the ARC’s Self-Determination Scale (Wehmeyer &amp; Kelchner, 1995), the How I feel About Myself Scale (Rehfeldt, 2006), and the Adult Trait Hope Scale (Snyder et al., 1991)</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67178" w:rsidRDefault="00737A0A" w:rsidP="0047170E">
            <w:pPr>
              <w:ind w:left="0" w:firstLine="0"/>
              <w:rPr>
                <w:rFonts w:asciiTheme="minorHAnsi" w:eastAsiaTheme="minorHAnsi" w:hAnsiTheme="minorHAnsi"/>
                <w:sz w:val="20"/>
                <w:szCs w:val="20"/>
              </w:rPr>
            </w:pPr>
            <w:r>
              <w:rPr>
                <w:rFonts w:asciiTheme="minorHAnsi" w:eastAsiaTheme="minorHAnsi" w:hAnsiTheme="minorHAnsi"/>
                <w:sz w:val="20"/>
                <w:szCs w:val="20"/>
              </w:rPr>
              <w:t xml:space="preserve">Carter et al., 2011; </w:t>
            </w:r>
            <w:r w:rsidR="00A2612C" w:rsidRPr="00C67178">
              <w:rPr>
                <w:rFonts w:asciiTheme="minorHAnsi" w:eastAsiaTheme="minorHAnsi" w:hAnsiTheme="minorHAnsi"/>
                <w:sz w:val="20"/>
                <w:szCs w:val="20"/>
              </w:rPr>
              <w:t xml:space="preserve">Fourqurean et al., 1991; </w:t>
            </w:r>
            <w:r>
              <w:rPr>
                <w:rFonts w:asciiTheme="minorHAnsi" w:eastAsiaTheme="minorHAnsi" w:hAnsiTheme="minorHAnsi"/>
                <w:sz w:val="20"/>
                <w:szCs w:val="20"/>
              </w:rPr>
              <w:t xml:space="preserve">McDonnall, 2010; </w:t>
            </w:r>
            <w:r w:rsidR="00A2612C" w:rsidRPr="00C67178">
              <w:rPr>
                <w:rFonts w:asciiTheme="minorHAnsi" w:eastAsiaTheme="minorHAnsi" w:hAnsiTheme="minorHAnsi"/>
                <w:sz w:val="20"/>
                <w:szCs w:val="20"/>
              </w:rPr>
              <w:t>Morningstar et al., 2010</w:t>
            </w:r>
          </w:p>
          <w:p w:rsidR="00A2612C" w:rsidRPr="00C67178" w:rsidRDefault="00A2612C" w:rsidP="0047170E">
            <w:pPr>
              <w:rPr>
                <w:rFonts w:asciiTheme="minorHAnsi" w:eastAsiaTheme="minorHAnsi" w:hAnsiTheme="minorHAnsi"/>
                <w:sz w:val="20"/>
                <w:szCs w:val="20"/>
              </w:rPr>
            </w:pPr>
            <w:r w:rsidRPr="00C67178">
              <w:rPr>
                <w:rFonts w:asciiTheme="minorHAnsi" w:eastAsiaTheme="minorHAnsi" w:hAnsiTheme="minorHAnsi"/>
                <w:sz w:val="20"/>
                <w:szCs w:val="20"/>
                <w:vertAlign w:val="superscript"/>
              </w:rPr>
              <w:t xml:space="preserve"> </w:t>
            </w:r>
          </w:p>
        </w:tc>
      </w:tr>
      <w:tr w:rsidR="00657AF0" w:rsidRPr="00C67178" w:rsidTr="0047170E">
        <w:tc>
          <w:tcPr>
            <w:tcW w:w="1122" w:type="pct"/>
            <w:tcBorders>
              <w:top w:val="single" w:sz="4" w:space="0" w:color="000000"/>
              <w:left w:val="single" w:sz="4" w:space="0" w:color="000000"/>
              <w:bottom w:val="single" w:sz="4" w:space="0" w:color="000000"/>
              <w:right w:val="single" w:sz="4" w:space="0" w:color="000000"/>
            </w:tcBorders>
            <w:hideMark/>
          </w:tcPr>
          <w:p w:rsidR="00657AF0" w:rsidRPr="00C67178" w:rsidRDefault="00657AF0" w:rsidP="00C555FB">
            <w:pPr>
              <w:pStyle w:val="ListParagraph"/>
              <w:numPr>
                <w:ilvl w:val="0"/>
                <w:numId w:val="33"/>
              </w:numPr>
              <w:rPr>
                <w:rFonts w:asciiTheme="minorHAnsi" w:eastAsiaTheme="minorHAnsi" w:hAnsiTheme="minorHAnsi"/>
                <w:sz w:val="20"/>
                <w:szCs w:val="20"/>
              </w:rPr>
            </w:pPr>
            <w:r>
              <w:rPr>
                <w:rFonts w:asciiTheme="minorHAnsi" w:eastAsiaTheme="minorHAnsi" w:hAnsiTheme="minorHAnsi"/>
                <w:sz w:val="20"/>
                <w:szCs w:val="20"/>
              </w:rPr>
              <w:t>Parent Expectations</w:t>
            </w:r>
          </w:p>
        </w:tc>
        <w:tc>
          <w:tcPr>
            <w:tcW w:w="2991" w:type="pct"/>
            <w:tcBorders>
              <w:top w:val="single" w:sz="4" w:space="0" w:color="000000"/>
              <w:left w:val="single" w:sz="4" w:space="0" w:color="000000"/>
              <w:bottom w:val="single" w:sz="4" w:space="0" w:color="000000"/>
              <w:right w:val="single" w:sz="4" w:space="0" w:color="000000"/>
            </w:tcBorders>
            <w:hideMark/>
          </w:tcPr>
          <w:p w:rsidR="00657AF0" w:rsidRDefault="00657AF0" w:rsidP="00C555FB">
            <w:pPr>
              <w:pStyle w:val="Default"/>
              <w:numPr>
                <w:ilvl w:val="0"/>
                <w:numId w:val="21"/>
              </w:numPr>
              <w:rPr>
                <w:sz w:val="23"/>
                <w:szCs w:val="23"/>
              </w:rPr>
            </w:pPr>
            <w:r w:rsidRPr="00657AF0">
              <w:rPr>
                <w:sz w:val="23"/>
                <w:szCs w:val="23"/>
              </w:rPr>
              <w:t>Students who had parents with high expectations were more likely to be engaged in postsecondary education or employment</w:t>
            </w:r>
          </w:p>
          <w:p w:rsidR="00657AF0" w:rsidRPr="00657AF0" w:rsidRDefault="00657AF0" w:rsidP="00C555FB">
            <w:pPr>
              <w:pStyle w:val="Default"/>
              <w:numPr>
                <w:ilvl w:val="0"/>
                <w:numId w:val="21"/>
              </w:numPr>
              <w:rPr>
                <w:sz w:val="23"/>
                <w:szCs w:val="23"/>
              </w:rPr>
            </w:pPr>
            <w:r w:rsidRPr="00657AF0">
              <w:rPr>
                <w:sz w:val="23"/>
                <w:szCs w:val="23"/>
              </w:rPr>
              <w:t xml:space="preserve">Students who had parents with high expectations were more likely to </w:t>
            </w:r>
            <w:r>
              <w:rPr>
                <w:sz w:val="23"/>
                <w:szCs w:val="23"/>
              </w:rPr>
              <w:t>attend postsecondary education</w:t>
            </w:r>
            <w:r w:rsidRPr="00657AF0">
              <w:rPr>
                <w:sz w:val="23"/>
                <w:szCs w:val="23"/>
              </w:rPr>
              <w:t xml:space="preserve"> </w:t>
            </w:r>
          </w:p>
          <w:p w:rsidR="00657AF0" w:rsidRPr="00C67178" w:rsidRDefault="00657AF0" w:rsidP="00657AF0">
            <w:pPr>
              <w:pStyle w:val="Default"/>
              <w:rPr>
                <w:rFonts w:asciiTheme="minorHAnsi" w:eastAsiaTheme="minorHAnsi" w:hAnsiTheme="minorHAnsi"/>
                <w:sz w:val="20"/>
                <w:szCs w:val="20"/>
              </w:rPr>
            </w:pPr>
            <w:r>
              <w:rPr>
                <w:sz w:val="23"/>
                <w:szCs w:val="23"/>
              </w:rPr>
              <w:t xml:space="preserve">Students who had parents with high expectations were more likely to be engaged in postsecondary employment </w:t>
            </w:r>
          </w:p>
        </w:tc>
        <w:tc>
          <w:tcPr>
            <w:tcW w:w="887" w:type="pct"/>
            <w:tcBorders>
              <w:top w:val="single" w:sz="4" w:space="0" w:color="000000"/>
              <w:left w:val="single" w:sz="4" w:space="0" w:color="000000"/>
              <w:bottom w:val="single" w:sz="4" w:space="0" w:color="000000"/>
              <w:right w:val="single" w:sz="4" w:space="0" w:color="000000"/>
            </w:tcBorders>
          </w:tcPr>
          <w:p w:rsidR="00657AF0" w:rsidRPr="00C27CA7" w:rsidRDefault="00657AF0" w:rsidP="00657AF0">
            <w:pPr>
              <w:ind w:left="0" w:firstLine="0"/>
              <w:rPr>
                <w:rFonts w:ascii="Times New Roman" w:eastAsiaTheme="minorHAnsi" w:hAnsi="Times New Roman"/>
                <w:sz w:val="20"/>
                <w:szCs w:val="20"/>
              </w:rPr>
            </w:pPr>
            <w:r w:rsidRPr="00C27CA7">
              <w:rPr>
                <w:rFonts w:ascii="Times New Roman" w:hAnsi="Times New Roman"/>
                <w:sz w:val="20"/>
                <w:szCs w:val="20"/>
              </w:rPr>
              <w:t>Doren, Gau, &amp; Lindstrom, 2012; Chiang, Cheung, Hickson, &amp; Tsai, 2012; Carter, Austin, &amp; Trainor, 2012</w:t>
            </w:r>
          </w:p>
        </w:tc>
      </w:tr>
      <w:tr w:rsidR="00A2612C" w:rsidRPr="00C67178" w:rsidTr="0047170E">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t>Student Support</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had support from self-family-friend network to find a job were more likely to be engaged in post-school employment </w:t>
            </w:r>
          </w:p>
          <w:p w:rsidR="00A2612C" w:rsidRPr="00C67178" w:rsidRDefault="00A2612C" w:rsidP="00C555FB">
            <w:pPr>
              <w:pStyle w:val="ListParagraph"/>
              <w:numPr>
                <w:ilvl w:val="0"/>
                <w:numId w:val="16"/>
              </w:numPr>
              <w:rPr>
                <w:rFonts w:asciiTheme="minorHAnsi" w:eastAsiaTheme="minorHAnsi" w:hAnsiTheme="minorHAnsi"/>
                <w:sz w:val="20"/>
                <w:szCs w:val="20"/>
              </w:rPr>
            </w:pPr>
            <w:r w:rsidRPr="00C67178">
              <w:rPr>
                <w:rFonts w:asciiTheme="minorHAnsi" w:eastAsiaTheme="minorHAnsi" w:hAnsiTheme="minorHAnsi"/>
                <w:sz w:val="20"/>
                <w:szCs w:val="20"/>
              </w:rPr>
              <w:t xml:space="preserve">Students who indicated high levels of satisfaction with instruction received (reading, writing, math, behaving responsibly, and problem solving) during high school were more likely to be engaged in post-school education </w:t>
            </w:r>
          </w:p>
          <w:p w:rsidR="00A2612C" w:rsidRPr="00C67178" w:rsidRDefault="00A2612C" w:rsidP="00C555FB">
            <w:pPr>
              <w:pStyle w:val="ListParagraph"/>
              <w:numPr>
                <w:ilvl w:val="0"/>
                <w:numId w:val="16"/>
              </w:numPr>
              <w:rPr>
                <w:rFonts w:asciiTheme="minorHAnsi" w:eastAsiaTheme="minorHAnsi" w:hAnsiTheme="minorHAnsi"/>
                <w:sz w:val="20"/>
                <w:szCs w:val="20"/>
              </w:rPr>
            </w:pPr>
            <w:r w:rsidRPr="00C67178">
              <w:rPr>
                <w:rFonts w:asciiTheme="minorHAnsi" w:eastAsiaTheme="minorHAnsi" w:hAnsiTheme="minorHAnsi"/>
                <w:sz w:val="20"/>
                <w:szCs w:val="20"/>
              </w:rPr>
              <w:t>Students who spent more time per week with friends during school were more likely to experience higher quality of life (independent living)</w:t>
            </w:r>
            <w:r w:rsidRPr="00C67178">
              <w:rPr>
                <w:rFonts w:asciiTheme="minorHAnsi" w:eastAsiaTheme="minorHAnsi" w:hAnsiTheme="minorHAnsi"/>
                <w:sz w:val="20"/>
                <w:szCs w:val="20"/>
                <w:vertAlign w:val="superscript"/>
              </w:rPr>
              <w:t xml:space="preserve"> </w:t>
            </w:r>
          </w:p>
          <w:p w:rsidR="00A2612C" w:rsidRPr="00C67178" w:rsidRDefault="00A2612C" w:rsidP="00C555FB">
            <w:pPr>
              <w:pStyle w:val="ListParagraph"/>
              <w:numPr>
                <w:ilvl w:val="0"/>
                <w:numId w:val="16"/>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 xml:space="preserve">Students with high occupational guidance and preparation (based on teacher student ratings from the Life Centered Career Education rating scales) were more likely to have higher quality of life (independent living) and be engaged in post-school employment </w:t>
            </w:r>
          </w:p>
          <w:p w:rsidR="00A2612C" w:rsidRPr="00C67178" w:rsidRDefault="00A2612C" w:rsidP="00C555FB">
            <w:pPr>
              <w:pStyle w:val="ListParagraph"/>
              <w:numPr>
                <w:ilvl w:val="0"/>
                <w:numId w:val="16"/>
              </w:numPr>
              <w:rPr>
                <w:rFonts w:asciiTheme="minorHAnsi" w:eastAsiaTheme="minorHAnsi" w:hAnsiTheme="minorHAnsi"/>
                <w:sz w:val="20"/>
                <w:szCs w:val="20"/>
              </w:rPr>
            </w:pPr>
            <w:r w:rsidRPr="00C67178">
              <w:rPr>
                <w:rFonts w:asciiTheme="minorHAnsi" w:eastAsiaTheme="minorHAnsi" w:hAnsiTheme="minorHAnsi"/>
                <w:sz w:val="20"/>
                <w:szCs w:val="20"/>
              </w:rPr>
              <w:t>Student who had support from informal (family/friends) or formal (vocational rehabilitation service) were more likely to work in community-based work settings.</w:t>
            </w:r>
          </w:p>
        </w:tc>
        <w:tc>
          <w:tcPr>
            <w:tcW w:w="887" w:type="pct"/>
            <w:tcBorders>
              <w:top w:val="single" w:sz="4" w:space="0" w:color="000000"/>
              <w:left w:val="single" w:sz="4" w:space="0" w:color="000000"/>
              <w:bottom w:val="single" w:sz="4" w:space="0" w:color="000000"/>
              <w:right w:val="single" w:sz="4" w:space="0" w:color="000000"/>
            </w:tcBorders>
          </w:tcPr>
          <w:p w:rsidR="00A2612C" w:rsidRPr="00C27CA7" w:rsidRDefault="00A2612C" w:rsidP="0047170E">
            <w:pPr>
              <w:ind w:left="0" w:firstLine="0"/>
              <w:rPr>
                <w:rFonts w:asciiTheme="minorHAnsi" w:eastAsiaTheme="minorHAnsi" w:hAnsiTheme="minorHAnsi"/>
                <w:sz w:val="20"/>
                <w:szCs w:val="20"/>
              </w:rPr>
            </w:pPr>
            <w:r w:rsidRPr="00C27CA7">
              <w:rPr>
                <w:rFonts w:asciiTheme="minorHAnsi" w:eastAsiaTheme="minorHAnsi" w:hAnsiTheme="minorHAnsi"/>
                <w:sz w:val="20"/>
                <w:szCs w:val="20"/>
              </w:rPr>
              <w:lastRenderedPageBreak/>
              <w:t>Doren &amp; Benz, 1998; Halpern et al., 1995; Hasna</w:t>
            </w:r>
            <w:r w:rsidR="00C27CA7">
              <w:rPr>
                <w:rFonts w:asciiTheme="minorHAnsi" w:eastAsiaTheme="minorHAnsi" w:hAnsiTheme="minorHAnsi"/>
                <w:sz w:val="20"/>
                <w:szCs w:val="20"/>
              </w:rPr>
              <w:t>in &amp; Balcazar, 2009; Heal et al.,</w:t>
            </w:r>
            <w:r w:rsidRPr="00C27CA7">
              <w:rPr>
                <w:rFonts w:asciiTheme="minorHAnsi" w:eastAsiaTheme="minorHAnsi" w:hAnsiTheme="minorHAnsi"/>
                <w:sz w:val="20"/>
                <w:szCs w:val="20"/>
              </w:rPr>
              <w:t xml:space="preserve"> 1999; Roessler et al., 1990 </w:t>
            </w:r>
          </w:p>
          <w:p w:rsidR="00A2612C" w:rsidRPr="00C27CA7" w:rsidRDefault="00A2612C" w:rsidP="0047170E">
            <w:pPr>
              <w:rPr>
                <w:rFonts w:asciiTheme="minorHAnsi" w:eastAsiaTheme="minorHAnsi" w:hAnsiTheme="minorHAnsi"/>
                <w:sz w:val="20"/>
                <w:szCs w:val="20"/>
              </w:rPr>
            </w:pPr>
          </w:p>
        </w:tc>
      </w:tr>
      <w:tr w:rsidR="00A2612C" w:rsidRPr="00C67178" w:rsidTr="0047170E">
        <w:tc>
          <w:tcPr>
            <w:tcW w:w="1122"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33"/>
              </w:numPr>
              <w:rPr>
                <w:rFonts w:asciiTheme="minorHAnsi" w:eastAsiaTheme="minorHAnsi" w:hAnsiTheme="minorHAnsi"/>
                <w:sz w:val="20"/>
                <w:szCs w:val="20"/>
              </w:rPr>
            </w:pPr>
            <w:r w:rsidRPr="00C67178">
              <w:rPr>
                <w:rFonts w:asciiTheme="minorHAnsi" w:eastAsiaTheme="minorHAnsi" w:hAnsiTheme="minorHAnsi"/>
                <w:sz w:val="20"/>
                <w:szCs w:val="20"/>
              </w:rPr>
              <w:lastRenderedPageBreak/>
              <w:t>Interagency Collaboration</w:t>
            </w:r>
          </w:p>
        </w:tc>
        <w:tc>
          <w:tcPr>
            <w:tcW w:w="2991" w:type="pct"/>
            <w:tcBorders>
              <w:top w:val="single" w:sz="4" w:space="0" w:color="000000"/>
              <w:left w:val="single" w:sz="4" w:space="0" w:color="000000"/>
              <w:bottom w:val="single" w:sz="4" w:space="0" w:color="000000"/>
              <w:right w:val="single" w:sz="4" w:space="0" w:color="000000"/>
            </w:tcBorders>
            <w:hideMark/>
          </w:tcPr>
          <w:p w:rsidR="00A2612C" w:rsidRPr="00C67178" w:rsidRDefault="00A2612C" w:rsidP="00C555FB">
            <w:pPr>
              <w:pStyle w:val="ListParagraph"/>
              <w:numPr>
                <w:ilvl w:val="0"/>
                <w:numId w:val="17"/>
              </w:numPr>
              <w:rPr>
                <w:rFonts w:asciiTheme="minorHAnsi" w:eastAsiaTheme="minorHAnsi" w:hAnsiTheme="minorHAnsi"/>
                <w:sz w:val="20"/>
                <w:szCs w:val="20"/>
              </w:rPr>
            </w:pPr>
            <w:r w:rsidRPr="00C67178">
              <w:rPr>
                <w:rFonts w:asciiTheme="minorHAnsi" w:eastAsiaTheme="minorHAnsi" w:hAnsiTheme="minorHAnsi"/>
                <w:sz w:val="20"/>
                <w:szCs w:val="20"/>
              </w:rPr>
              <w:t>Students who received assistance from 3 to 6 community-based agencies (as compared to students with assistance from 0 to 2 agencies) were more likely to be engaged in post-school employment or education</w:t>
            </w:r>
          </w:p>
          <w:p w:rsidR="00A2612C" w:rsidRPr="00C67178" w:rsidRDefault="00A2612C" w:rsidP="00C555FB">
            <w:pPr>
              <w:pStyle w:val="ListParagraph"/>
              <w:numPr>
                <w:ilvl w:val="0"/>
                <w:numId w:val="17"/>
              </w:numPr>
              <w:rPr>
                <w:rFonts w:asciiTheme="minorHAnsi" w:eastAsiaTheme="minorHAnsi" w:hAnsiTheme="minorHAnsi"/>
                <w:sz w:val="20"/>
                <w:szCs w:val="20"/>
              </w:rPr>
            </w:pPr>
            <w:r w:rsidRPr="00C67178">
              <w:rPr>
                <w:rFonts w:asciiTheme="minorHAnsi" w:eastAsiaTheme="minorHAnsi" w:hAnsiTheme="minorHAnsi"/>
                <w:sz w:val="20"/>
                <w:szCs w:val="20"/>
              </w:rPr>
              <w:t xml:space="preserve">Transition interagency council characteristics (i.e., agency directories, agreements, councils, general information, local business advisory boards, parent network, statements) were significantly and positively correlated with postsecondary education </w:t>
            </w:r>
          </w:p>
        </w:tc>
        <w:tc>
          <w:tcPr>
            <w:tcW w:w="887" w:type="pct"/>
            <w:tcBorders>
              <w:top w:val="single" w:sz="4" w:space="0" w:color="000000"/>
              <w:left w:val="single" w:sz="4" w:space="0" w:color="000000"/>
              <w:bottom w:val="single" w:sz="4" w:space="0" w:color="000000"/>
              <w:right w:val="single" w:sz="4" w:space="0" w:color="000000"/>
            </w:tcBorders>
            <w:hideMark/>
          </w:tcPr>
          <w:p w:rsidR="00A2612C" w:rsidRPr="00C27CA7" w:rsidRDefault="00A2612C" w:rsidP="0047170E">
            <w:pPr>
              <w:ind w:left="0" w:firstLine="0"/>
              <w:rPr>
                <w:rFonts w:asciiTheme="minorHAnsi" w:eastAsiaTheme="minorHAnsi" w:hAnsiTheme="minorHAnsi"/>
                <w:sz w:val="20"/>
                <w:szCs w:val="20"/>
              </w:rPr>
            </w:pPr>
            <w:r w:rsidRPr="00C27CA7">
              <w:rPr>
                <w:rFonts w:asciiTheme="minorHAnsi" w:eastAsiaTheme="minorHAnsi" w:hAnsiTheme="minorHAnsi"/>
                <w:sz w:val="20"/>
                <w:szCs w:val="20"/>
              </w:rPr>
              <w:t>Bullis et al., 1995; Repetto et al., 2002</w:t>
            </w:r>
          </w:p>
          <w:p w:rsidR="00A2612C" w:rsidRPr="00C27CA7" w:rsidRDefault="00A2612C" w:rsidP="0047170E">
            <w:pPr>
              <w:rPr>
                <w:rFonts w:asciiTheme="minorHAnsi" w:eastAsiaTheme="minorHAnsi" w:hAnsiTheme="minorHAnsi"/>
                <w:sz w:val="20"/>
                <w:szCs w:val="20"/>
              </w:rPr>
            </w:pPr>
            <w:r w:rsidRPr="00C27CA7">
              <w:rPr>
                <w:rFonts w:asciiTheme="minorHAnsi" w:eastAsiaTheme="minorHAnsi" w:hAnsiTheme="minorHAnsi"/>
                <w:sz w:val="20"/>
                <w:szCs w:val="20"/>
                <w:vertAlign w:val="superscript"/>
              </w:rPr>
              <w:t xml:space="preserve"> </w:t>
            </w:r>
          </w:p>
        </w:tc>
      </w:tr>
    </w:tbl>
    <w:p w:rsidR="00A2612C" w:rsidRPr="00C67178" w:rsidRDefault="00A2612C" w:rsidP="00A2612C">
      <w:pPr>
        <w:tabs>
          <w:tab w:val="left" w:pos="2594"/>
        </w:tabs>
        <w:rPr>
          <w:rFonts w:asciiTheme="minorHAnsi" w:hAnsiTheme="minorHAnsi"/>
          <w:sz w:val="24"/>
          <w:szCs w:val="24"/>
        </w:rPr>
      </w:pPr>
    </w:p>
    <w:p w:rsidR="00127499" w:rsidRPr="00C67178" w:rsidRDefault="00127499">
      <w:pPr>
        <w:rPr>
          <w:rFonts w:asciiTheme="minorHAnsi" w:hAnsiTheme="minorHAnsi"/>
        </w:rPr>
      </w:pPr>
    </w:p>
    <w:sectPr w:rsidR="00127499" w:rsidRPr="00C67178" w:rsidSect="0047170E">
      <w:headerReference w:type="default" r:id="rId11"/>
      <w:footerReference w:type="default" r:id="rId12"/>
      <w:pgSz w:w="12240" w:h="15840"/>
      <w:pgMar w:top="1440" w:right="135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08" w:rsidRDefault="00896208" w:rsidP="00A2612C">
      <w:r>
        <w:separator/>
      </w:r>
    </w:p>
  </w:endnote>
  <w:endnote w:type="continuationSeparator" w:id="0">
    <w:p w:rsidR="00896208" w:rsidRDefault="00896208" w:rsidP="00A2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4" w:space="0" w:color="8064A2" w:themeColor="accent4"/>
      </w:tblBorders>
      <w:tblLook w:val="04A0" w:firstRow="1" w:lastRow="0" w:firstColumn="1" w:lastColumn="0" w:noHBand="0" w:noVBand="1"/>
    </w:tblPr>
    <w:tblGrid>
      <w:gridCol w:w="6409"/>
      <w:gridCol w:w="3240"/>
    </w:tblGrid>
    <w:tr w:rsidR="007E0618" w:rsidRPr="00A336B0" w:rsidTr="00C67178">
      <w:trPr>
        <w:trHeight w:val="360"/>
      </w:trPr>
      <w:tc>
        <w:tcPr>
          <w:tcW w:w="3321" w:type="pct"/>
        </w:tcPr>
        <w:p w:rsidR="007E0618" w:rsidRPr="00A336B0" w:rsidRDefault="007E0618" w:rsidP="00E570CD">
          <w:pPr>
            <w:pStyle w:val="Footer"/>
            <w:rPr>
              <w:rFonts w:asciiTheme="minorHAnsi" w:eastAsiaTheme="minorHAnsi" w:hAnsiTheme="minorHAnsi" w:cstheme="minorBidi"/>
            </w:rPr>
          </w:pPr>
          <w:r w:rsidRPr="00E570CD">
            <w:rPr>
              <w:rFonts w:asciiTheme="minorHAnsi" w:eastAsiaTheme="minorHAnsi" w:hAnsiTheme="minorHAnsi" w:cstheme="minorBidi"/>
              <w:noProof/>
            </w:rPr>
            <w:drawing>
              <wp:inline distT="0" distB="0" distL="0" distR="0">
                <wp:extent cx="895350" cy="219075"/>
                <wp:effectExtent l="19050" t="0" r="0" b="0"/>
                <wp:docPr id="3" name="Picture 2" descr="NSTTAC-Logo"/>
                <wp:cNvGraphicFramePr/>
                <a:graphic xmlns:a="http://schemas.openxmlformats.org/drawingml/2006/main">
                  <a:graphicData uri="http://schemas.openxmlformats.org/drawingml/2006/picture">
                    <pic:pic xmlns:pic="http://schemas.openxmlformats.org/drawingml/2006/picture">
                      <pic:nvPicPr>
                        <pic:cNvPr id="236546" name="Picture 2" descr="NSTTAC-Logo"/>
                        <pic:cNvPicPr>
                          <a:picLocks noChangeAspect="1" noChangeArrowheads="1"/>
                        </pic:cNvPicPr>
                      </pic:nvPicPr>
                      <pic:blipFill>
                        <a:blip r:embed="rId1" cstate="print"/>
                        <a:srcRect/>
                        <a:stretch>
                          <a:fillRect/>
                        </a:stretch>
                      </pic:blipFill>
                      <pic:spPr bwMode="auto">
                        <a:xfrm>
                          <a:off x="0" y="0"/>
                          <a:ext cx="895780" cy="219180"/>
                        </a:xfrm>
                        <a:prstGeom prst="rect">
                          <a:avLst/>
                        </a:prstGeom>
                        <a:noFill/>
                        <a:ln w="9525">
                          <a:noFill/>
                          <a:miter lim="800000"/>
                          <a:headEnd/>
                          <a:tailEnd/>
                        </a:ln>
                      </pic:spPr>
                    </pic:pic>
                  </a:graphicData>
                </a:graphic>
              </wp:inline>
            </w:drawing>
          </w:r>
          <w:r>
            <w:rPr>
              <w:rFonts w:asciiTheme="minorHAnsi" w:eastAsiaTheme="minorHAnsi" w:hAnsiTheme="minorHAnsi" w:cstheme="minorBidi"/>
            </w:rPr>
            <w:t xml:space="preserve">                                               </w:t>
          </w:r>
          <w:r w:rsidRPr="00E570CD">
            <w:rPr>
              <w:rFonts w:asciiTheme="minorHAnsi" w:eastAsiaTheme="minorHAnsi" w:hAnsiTheme="minorHAnsi" w:cstheme="minorBidi"/>
              <w:noProof/>
            </w:rPr>
            <w:drawing>
              <wp:inline distT="0" distB="0" distL="0" distR="0">
                <wp:extent cx="709613" cy="280988"/>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stretch>
                          <a:fillRect/>
                        </a:stretch>
                      </pic:blipFill>
                      <pic:spPr>
                        <a:xfrm>
                          <a:off x="0" y="0"/>
                          <a:ext cx="709623" cy="280992"/>
                        </a:xfrm>
                        <a:prstGeom prst="rect">
                          <a:avLst/>
                        </a:prstGeom>
                      </pic:spPr>
                    </pic:pic>
                  </a:graphicData>
                </a:graphic>
              </wp:inline>
            </w:drawing>
          </w:r>
        </w:p>
      </w:tc>
      <w:tc>
        <w:tcPr>
          <w:tcW w:w="1679" w:type="pct"/>
          <w:shd w:val="clear" w:color="auto" w:fill="20BEE4"/>
        </w:tcPr>
        <w:p w:rsidR="007E0618" w:rsidRPr="00A336B0" w:rsidRDefault="007E0618" w:rsidP="00D47CFE">
          <w:pPr>
            <w:pStyle w:val="Footer"/>
            <w:tabs>
              <w:tab w:val="left" w:pos="74"/>
              <w:tab w:val="right" w:pos="2684"/>
            </w:tabs>
            <w:ind w:left="-376" w:firstLine="376"/>
            <w:jc w:val="right"/>
            <w:rPr>
              <w:rFonts w:asciiTheme="minorHAnsi" w:eastAsiaTheme="minorHAnsi" w:hAnsiTheme="minorHAnsi" w:cstheme="minorBidi"/>
              <w:color w:val="FFFFFF" w:themeColor="background1"/>
            </w:rPr>
          </w:pPr>
          <w:r>
            <w:rPr>
              <w:rFonts w:asciiTheme="minorHAnsi" w:eastAsiaTheme="minorHAnsi" w:hAnsiTheme="minorHAnsi" w:cstheme="minorBidi"/>
            </w:rPr>
            <w:tab/>
          </w:r>
          <w:r>
            <w:rPr>
              <w:rFonts w:asciiTheme="minorHAnsi" w:eastAsiaTheme="minorHAnsi" w:hAnsiTheme="minorHAnsi" w:cstheme="minorBidi"/>
            </w:rPr>
            <w:tab/>
          </w:r>
          <w:r w:rsidRPr="00C67178">
            <w:rPr>
              <w:rFonts w:asciiTheme="minorHAnsi" w:eastAsiaTheme="minorHAnsi" w:hAnsiTheme="minorHAnsi" w:cstheme="minorBidi"/>
              <w:color w:val="D9D9D9" w:themeColor="background1" w:themeShade="D9"/>
            </w:rPr>
            <w:t xml:space="preserve">Current as of </w:t>
          </w:r>
          <w:r>
            <w:rPr>
              <w:rFonts w:asciiTheme="minorHAnsi" w:eastAsiaTheme="minorHAnsi" w:hAnsiTheme="minorHAnsi" w:cstheme="minorBidi"/>
              <w:color w:val="D9D9D9" w:themeColor="background1" w:themeShade="D9"/>
            </w:rPr>
            <w:t>September 2013</w:t>
          </w:r>
          <w:r>
            <w:rPr>
              <w:rFonts w:asciiTheme="minorHAnsi" w:eastAsiaTheme="minorHAnsi" w:hAnsiTheme="minorHAnsi" w:cstheme="minorBidi"/>
            </w:rPr>
            <w:t xml:space="preserve">        </w:t>
          </w:r>
          <w:r w:rsidRPr="00A336B0">
            <w:rPr>
              <w:rFonts w:asciiTheme="minorHAnsi" w:eastAsiaTheme="minorHAnsi" w:hAnsiTheme="minorHAnsi" w:cstheme="minorBidi"/>
            </w:rPr>
            <w:fldChar w:fldCharType="begin"/>
          </w:r>
          <w:r w:rsidRPr="00A336B0">
            <w:rPr>
              <w:rFonts w:asciiTheme="minorHAnsi" w:eastAsiaTheme="minorHAnsi" w:hAnsiTheme="minorHAnsi" w:cstheme="minorBidi"/>
            </w:rPr>
            <w:instrText xml:space="preserve"> PAGE    \* MERGEFORMAT </w:instrText>
          </w:r>
          <w:r w:rsidRPr="00A336B0">
            <w:rPr>
              <w:rFonts w:asciiTheme="minorHAnsi" w:eastAsiaTheme="minorHAnsi" w:hAnsiTheme="minorHAnsi" w:cstheme="minorBidi"/>
            </w:rPr>
            <w:fldChar w:fldCharType="separate"/>
          </w:r>
          <w:r w:rsidR="00417262" w:rsidRPr="00417262">
            <w:rPr>
              <w:rFonts w:asciiTheme="minorHAnsi" w:eastAsiaTheme="minorHAnsi" w:hAnsiTheme="minorHAnsi" w:cstheme="minorBidi"/>
              <w:noProof/>
              <w:color w:val="FFFFFF" w:themeColor="background1"/>
            </w:rPr>
            <w:t>22</w:t>
          </w:r>
          <w:r w:rsidRPr="00A336B0">
            <w:rPr>
              <w:rFonts w:asciiTheme="minorHAnsi" w:eastAsiaTheme="minorHAnsi" w:hAnsiTheme="minorHAnsi" w:cstheme="minorBidi"/>
              <w:noProof/>
              <w:color w:val="FFFFFF" w:themeColor="background1"/>
            </w:rPr>
            <w:fldChar w:fldCharType="end"/>
          </w:r>
        </w:p>
      </w:tc>
    </w:tr>
  </w:tbl>
  <w:p w:rsidR="007E0618" w:rsidRDefault="007E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08" w:rsidRDefault="00896208" w:rsidP="00A2612C">
      <w:r>
        <w:separator/>
      </w:r>
    </w:p>
  </w:footnote>
  <w:footnote w:type="continuationSeparator" w:id="0">
    <w:p w:rsidR="00896208" w:rsidRDefault="00896208" w:rsidP="00A2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666"/>
    </w:tblGrid>
    <w:tr w:rsidR="007E0618" w:rsidRPr="00A336B0" w:rsidTr="00A2612C">
      <w:trPr>
        <w:trHeight w:val="630"/>
      </w:trPr>
      <w:tc>
        <w:tcPr>
          <w:tcW w:w="5000" w:type="pct"/>
          <w:shd w:val="clear" w:color="auto" w:fill="20BEE4"/>
          <w:vAlign w:val="center"/>
        </w:tcPr>
        <w:p w:rsidR="007E0618" w:rsidRPr="006536A7" w:rsidRDefault="007E0618" w:rsidP="00A2612C">
          <w:pPr>
            <w:pStyle w:val="Header"/>
            <w:jc w:val="center"/>
            <w:rPr>
              <w:rFonts w:asciiTheme="minorHAnsi" w:eastAsiaTheme="minorHAnsi" w:hAnsiTheme="minorHAnsi" w:cstheme="minorBidi"/>
              <w:b/>
              <w:caps/>
              <w:color w:val="FFFFFF" w:themeColor="background1"/>
              <w:sz w:val="24"/>
            </w:rPr>
          </w:pPr>
          <w:r w:rsidRPr="006536A7">
            <w:rPr>
              <w:rFonts w:asciiTheme="minorHAnsi" w:eastAsiaTheme="minorHAnsi" w:hAnsiTheme="minorHAnsi" w:cstheme="minorBidi"/>
              <w:b/>
              <w:caps/>
              <w:color w:val="FFFFFF" w:themeColor="background1"/>
              <w:sz w:val="24"/>
            </w:rPr>
            <w:t>Secondary Transition Evidence-based practices and</w:t>
          </w:r>
        </w:p>
        <w:p w:rsidR="007E0618" w:rsidRPr="00A2612C" w:rsidRDefault="007E0618" w:rsidP="00A2612C">
          <w:pPr>
            <w:pStyle w:val="Header"/>
            <w:jc w:val="center"/>
            <w:rPr>
              <w:rFonts w:asciiTheme="minorHAnsi" w:eastAsiaTheme="minorHAnsi" w:hAnsiTheme="minorHAnsi" w:cstheme="minorBidi"/>
              <w:b/>
              <w:caps/>
              <w:color w:val="FFFFFF" w:themeColor="background1"/>
              <w:sz w:val="24"/>
            </w:rPr>
          </w:pPr>
          <w:r w:rsidRPr="006536A7">
            <w:rPr>
              <w:rFonts w:asciiTheme="minorHAnsi" w:eastAsiaTheme="minorHAnsi" w:hAnsiTheme="minorHAnsi" w:cstheme="minorBidi"/>
              <w:b/>
              <w:caps/>
              <w:color w:val="FFFFFF" w:themeColor="background1"/>
              <w:sz w:val="24"/>
            </w:rPr>
            <w:t>predictors of Post-school success</w:t>
          </w:r>
        </w:p>
      </w:tc>
    </w:tr>
  </w:tbl>
  <w:p w:rsidR="007E0618" w:rsidRDefault="007E0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34F"/>
    <w:multiLevelType w:val="hybridMultilevel"/>
    <w:tmpl w:val="57B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B5828"/>
    <w:multiLevelType w:val="hybridMultilevel"/>
    <w:tmpl w:val="26D29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B492C"/>
    <w:multiLevelType w:val="hybridMultilevel"/>
    <w:tmpl w:val="1BF63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511584"/>
    <w:multiLevelType w:val="hybridMultilevel"/>
    <w:tmpl w:val="38A45390"/>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13C57"/>
    <w:multiLevelType w:val="hybridMultilevel"/>
    <w:tmpl w:val="340C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6045C"/>
    <w:multiLevelType w:val="hybridMultilevel"/>
    <w:tmpl w:val="DF14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DB6535"/>
    <w:multiLevelType w:val="hybridMultilevel"/>
    <w:tmpl w:val="B9545C56"/>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64017"/>
    <w:multiLevelType w:val="hybridMultilevel"/>
    <w:tmpl w:val="C5E0BF5A"/>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E29E2"/>
    <w:multiLevelType w:val="hybridMultilevel"/>
    <w:tmpl w:val="1DD8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385A03"/>
    <w:multiLevelType w:val="hybridMultilevel"/>
    <w:tmpl w:val="D6C8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4938"/>
    <w:multiLevelType w:val="hybridMultilevel"/>
    <w:tmpl w:val="BC36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495657"/>
    <w:multiLevelType w:val="hybridMultilevel"/>
    <w:tmpl w:val="2AE88E18"/>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D3CCE"/>
    <w:multiLevelType w:val="hybridMultilevel"/>
    <w:tmpl w:val="BC2C6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2850A6"/>
    <w:multiLevelType w:val="hybridMultilevel"/>
    <w:tmpl w:val="84181D2A"/>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452CD3"/>
    <w:multiLevelType w:val="hybridMultilevel"/>
    <w:tmpl w:val="5284E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A30F1"/>
    <w:multiLevelType w:val="hybridMultilevel"/>
    <w:tmpl w:val="8662E542"/>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836446"/>
    <w:multiLevelType w:val="hybridMultilevel"/>
    <w:tmpl w:val="3CB0B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BC4C0C"/>
    <w:multiLevelType w:val="hybridMultilevel"/>
    <w:tmpl w:val="49CEDD46"/>
    <w:lvl w:ilvl="0" w:tplc="250E1708">
      <w:start w:val="1"/>
      <w:numFmt w:val="bullet"/>
      <w:lvlText w:val=""/>
      <w:lvlJc w:val="left"/>
      <w:pPr>
        <w:tabs>
          <w:tab w:val="num" w:pos="360"/>
        </w:tabs>
        <w:ind w:left="360" w:hanging="360"/>
      </w:pPr>
      <w:rPr>
        <w:rFonts w:ascii="Wingdings" w:hAnsi="Wingdings" w:hint="default"/>
      </w:rPr>
    </w:lvl>
    <w:lvl w:ilvl="1" w:tplc="E70C32DC">
      <w:start w:val="1"/>
      <w:numFmt w:val="bullet"/>
      <w:lvlText w:val=""/>
      <w:lvlJc w:val="left"/>
      <w:pPr>
        <w:tabs>
          <w:tab w:val="num" w:pos="0"/>
        </w:tabs>
      </w:pPr>
      <w:rPr>
        <w:rFonts w:ascii="Wingdings" w:hAnsi="Wingdings" w:hint="default"/>
      </w:rPr>
    </w:lvl>
    <w:lvl w:ilvl="2" w:tplc="CA0A65BC">
      <w:start w:val="1"/>
      <w:numFmt w:val="bullet"/>
      <w:lvlText w:val=""/>
      <w:lvlJc w:val="left"/>
      <w:pPr>
        <w:tabs>
          <w:tab w:val="num" w:pos="1800"/>
        </w:tabs>
        <w:ind w:left="1800" w:hanging="360"/>
      </w:pPr>
      <w:rPr>
        <w:rFonts w:ascii="Wingdings" w:hAnsi="Wingdings" w:hint="default"/>
      </w:rPr>
    </w:lvl>
    <w:lvl w:ilvl="3" w:tplc="7CB0E79E" w:tentative="1">
      <w:start w:val="1"/>
      <w:numFmt w:val="bullet"/>
      <w:lvlText w:val=""/>
      <w:lvlJc w:val="left"/>
      <w:pPr>
        <w:tabs>
          <w:tab w:val="num" w:pos="2520"/>
        </w:tabs>
        <w:ind w:left="2520" w:hanging="360"/>
      </w:pPr>
      <w:rPr>
        <w:rFonts w:ascii="Wingdings" w:hAnsi="Wingdings" w:hint="default"/>
      </w:rPr>
    </w:lvl>
    <w:lvl w:ilvl="4" w:tplc="3C7CF13C" w:tentative="1">
      <w:start w:val="1"/>
      <w:numFmt w:val="bullet"/>
      <w:lvlText w:val=""/>
      <w:lvlJc w:val="left"/>
      <w:pPr>
        <w:tabs>
          <w:tab w:val="num" w:pos="3240"/>
        </w:tabs>
        <w:ind w:left="3240" w:hanging="360"/>
      </w:pPr>
      <w:rPr>
        <w:rFonts w:ascii="Wingdings" w:hAnsi="Wingdings" w:hint="default"/>
      </w:rPr>
    </w:lvl>
    <w:lvl w:ilvl="5" w:tplc="2C3E8F80" w:tentative="1">
      <w:start w:val="1"/>
      <w:numFmt w:val="bullet"/>
      <w:lvlText w:val=""/>
      <w:lvlJc w:val="left"/>
      <w:pPr>
        <w:tabs>
          <w:tab w:val="num" w:pos="3960"/>
        </w:tabs>
        <w:ind w:left="3960" w:hanging="360"/>
      </w:pPr>
      <w:rPr>
        <w:rFonts w:ascii="Wingdings" w:hAnsi="Wingdings" w:hint="default"/>
      </w:rPr>
    </w:lvl>
    <w:lvl w:ilvl="6" w:tplc="AEE8AE82" w:tentative="1">
      <w:start w:val="1"/>
      <w:numFmt w:val="bullet"/>
      <w:lvlText w:val=""/>
      <w:lvlJc w:val="left"/>
      <w:pPr>
        <w:tabs>
          <w:tab w:val="num" w:pos="4680"/>
        </w:tabs>
        <w:ind w:left="4680" w:hanging="360"/>
      </w:pPr>
      <w:rPr>
        <w:rFonts w:ascii="Wingdings" w:hAnsi="Wingdings" w:hint="default"/>
      </w:rPr>
    </w:lvl>
    <w:lvl w:ilvl="7" w:tplc="52F4B50E" w:tentative="1">
      <w:start w:val="1"/>
      <w:numFmt w:val="bullet"/>
      <w:lvlText w:val=""/>
      <w:lvlJc w:val="left"/>
      <w:pPr>
        <w:tabs>
          <w:tab w:val="num" w:pos="5400"/>
        </w:tabs>
        <w:ind w:left="5400" w:hanging="360"/>
      </w:pPr>
      <w:rPr>
        <w:rFonts w:ascii="Wingdings" w:hAnsi="Wingdings" w:hint="default"/>
      </w:rPr>
    </w:lvl>
    <w:lvl w:ilvl="8" w:tplc="521EDB52" w:tentative="1">
      <w:start w:val="1"/>
      <w:numFmt w:val="bullet"/>
      <w:lvlText w:val=""/>
      <w:lvlJc w:val="left"/>
      <w:pPr>
        <w:tabs>
          <w:tab w:val="num" w:pos="6120"/>
        </w:tabs>
        <w:ind w:left="6120" w:hanging="360"/>
      </w:pPr>
      <w:rPr>
        <w:rFonts w:ascii="Wingdings" w:hAnsi="Wingdings" w:hint="default"/>
      </w:rPr>
    </w:lvl>
  </w:abstractNum>
  <w:abstractNum w:abstractNumId="18">
    <w:nsid w:val="30CF29E0"/>
    <w:multiLevelType w:val="hybridMultilevel"/>
    <w:tmpl w:val="46906116"/>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E54B53"/>
    <w:multiLevelType w:val="hybridMultilevel"/>
    <w:tmpl w:val="E59886DC"/>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2846B7"/>
    <w:multiLevelType w:val="hybridMultilevel"/>
    <w:tmpl w:val="19089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F62424"/>
    <w:multiLevelType w:val="hybridMultilevel"/>
    <w:tmpl w:val="4AA072B6"/>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062F71"/>
    <w:multiLevelType w:val="hybridMultilevel"/>
    <w:tmpl w:val="5D4CC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12861"/>
    <w:multiLevelType w:val="hybridMultilevel"/>
    <w:tmpl w:val="87B0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6B307B"/>
    <w:multiLevelType w:val="hybridMultilevel"/>
    <w:tmpl w:val="47561D78"/>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A24281"/>
    <w:multiLevelType w:val="hybridMultilevel"/>
    <w:tmpl w:val="00CA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DB481A"/>
    <w:multiLevelType w:val="hybridMultilevel"/>
    <w:tmpl w:val="C31EF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CD2602"/>
    <w:multiLevelType w:val="hybridMultilevel"/>
    <w:tmpl w:val="CB42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7E7D89"/>
    <w:multiLevelType w:val="hybridMultilevel"/>
    <w:tmpl w:val="AAB464AE"/>
    <w:lvl w:ilvl="0" w:tplc="E70C3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40BB9"/>
    <w:multiLevelType w:val="hybridMultilevel"/>
    <w:tmpl w:val="F1588054"/>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CF29CB"/>
    <w:multiLevelType w:val="hybridMultilevel"/>
    <w:tmpl w:val="FAFC6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F77FF0"/>
    <w:multiLevelType w:val="hybridMultilevel"/>
    <w:tmpl w:val="F6FE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0A4804"/>
    <w:multiLevelType w:val="hybridMultilevel"/>
    <w:tmpl w:val="105CE1D2"/>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B911F0"/>
    <w:multiLevelType w:val="hybridMultilevel"/>
    <w:tmpl w:val="B6CAE9F8"/>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A62DE1"/>
    <w:multiLevelType w:val="hybridMultilevel"/>
    <w:tmpl w:val="4B847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8D40E9"/>
    <w:multiLevelType w:val="hybridMultilevel"/>
    <w:tmpl w:val="CB3A0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510E9E"/>
    <w:multiLevelType w:val="hybridMultilevel"/>
    <w:tmpl w:val="57549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ED4DFC"/>
    <w:multiLevelType w:val="hybridMultilevel"/>
    <w:tmpl w:val="E1FE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46432B"/>
    <w:multiLevelType w:val="hybridMultilevel"/>
    <w:tmpl w:val="F2B0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FA05C7"/>
    <w:multiLevelType w:val="hybridMultilevel"/>
    <w:tmpl w:val="C2667474"/>
    <w:lvl w:ilvl="0" w:tplc="0148A4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9945C2"/>
    <w:multiLevelType w:val="hybridMultilevel"/>
    <w:tmpl w:val="D4C88716"/>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FE7134"/>
    <w:multiLevelType w:val="hybridMultilevel"/>
    <w:tmpl w:val="40849D22"/>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153586"/>
    <w:multiLevelType w:val="hybridMultilevel"/>
    <w:tmpl w:val="8A80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0D5714"/>
    <w:multiLevelType w:val="hybridMultilevel"/>
    <w:tmpl w:val="D3E81D46"/>
    <w:lvl w:ilvl="0" w:tplc="0148A4C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9913E7"/>
    <w:multiLevelType w:val="hybridMultilevel"/>
    <w:tmpl w:val="624C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D50821"/>
    <w:multiLevelType w:val="hybridMultilevel"/>
    <w:tmpl w:val="152A537C"/>
    <w:lvl w:ilvl="0" w:tplc="0148A4C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B93E19"/>
    <w:multiLevelType w:val="hybridMultilevel"/>
    <w:tmpl w:val="4AA89246"/>
    <w:lvl w:ilvl="0" w:tplc="92F668C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D671F07"/>
    <w:multiLevelType w:val="hybridMultilevel"/>
    <w:tmpl w:val="1A22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9"/>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7"/>
  </w:num>
  <w:num w:numId="20">
    <w:abstractNumId w:val="28"/>
  </w:num>
  <w:num w:numId="21">
    <w:abstractNumId w:val="30"/>
  </w:num>
  <w:num w:numId="22">
    <w:abstractNumId w:val="31"/>
  </w:num>
  <w:num w:numId="23">
    <w:abstractNumId w:val="42"/>
  </w:num>
  <w:num w:numId="24">
    <w:abstractNumId w:val="10"/>
  </w:num>
  <w:num w:numId="25">
    <w:abstractNumId w:val="38"/>
  </w:num>
  <w:num w:numId="26">
    <w:abstractNumId w:val="1"/>
  </w:num>
  <w:num w:numId="27">
    <w:abstractNumId w:val="4"/>
  </w:num>
  <w:num w:numId="28">
    <w:abstractNumId w:val="14"/>
  </w:num>
  <w:num w:numId="29">
    <w:abstractNumId w:val="27"/>
  </w:num>
  <w:num w:numId="30">
    <w:abstractNumId w:val="35"/>
  </w:num>
  <w:num w:numId="31">
    <w:abstractNumId w:val="0"/>
  </w:num>
  <w:num w:numId="32">
    <w:abstractNumId w:val="12"/>
  </w:num>
  <w:num w:numId="33">
    <w:abstractNumId w:val="22"/>
  </w:num>
  <w:num w:numId="34">
    <w:abstractNumId w:val="6"/>
  </w:num>
  <w:num w:numId="35">
    <w:abstractNumId w:val="21"/>
  </w:num>
  <w:num w:numId="36">
    <w:abstractNumId w:val="45"/>
  </w:num>
  <w:num w:numId="37">
    <w:abstractNumId w:val="11"/>
  </w:num>
  <w:num w:numId="38">
    <w:abstractNumId w:val="32"/>
  </w:num>
  <w:num w:numId="39">
    <w:abstractNumId w:val="13"/>
  </w:num>
  <w:num w:numId="40">
    <w:abstractNumId w:val="24"/>
  </w:num>
  <w:num w:numId="41">
    <w:abstractNumId w:val="15"/>
  </w:num>
  <w:num w:numId="42">
    <w:abstractNumId w:val="7"/>
  </w:num>
  <w:num w:numId="43">
    <w:abstractNumId w:val="41"/>
  </w:num>
  <w:num w:numId="44">
    <w:abstractNumId w:val="40"/>
  </w:num>
  <w:num w:numId="45">
    <w:abstractNumId w:val="19"/>
  </w:num>
  <w:num w:numId="46">
    <w:abstractNumId w:val="18"/>
  </w:num>
  <w:num w:numId="47">
    <w:abstractNumId w:val="3"/>
  </w:num>
  <w:num w:numId="48">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2C"/>
    <w:rsid w:val="000829DD"/>
    <w:rsid w:val="0009005F"/>
    <w:rsid w:val="00095643"/>
    <w:rsid w:val="000D43A4"/>
    <w:rsid w:val="000E5A50"/>
    <w:rsid w:val="00122DA8"/>
    <w:rsid w:val="00127499"/>
    <w:rsid w:val="00177DD6"/>
    <w:rsid w:val="00277DA2"/>
    <w:rsid w:val="002A464C"/>
    <w:rsid w:val="002E3F0D"/>
    <w:rsid w:val="00327623"/>
    <w:rsid w:val="00344EBB"/>
    <w:rsid w:val="00394FE4"/>
    <w:rsid w:val="00417262"/>
    <w:rsid w:val="004619B7"/>
    <w:rsid w:val="00466AE5"/>
    <w:rsid w:val="0047170E"/>
    <w:rsid w:val="00490DC1"/>
    <w:rsid w:val="00496839"/>
    <w:rsid w:val="004A222C"/>
    <w:rsid w:val="0051050A"/>
    <w:rsid w:val="005349BA"/>
    <w:rsid w:val="006133C2"/>
    <w:rsid w:val="006536A7"/>
    <w:rsid w:val="00657AF0"/>
    <w:rsid w:val="00692431"/>
    <w:rsid w:val="00714461"/>
    <w:rsid w:val="00737A0A"/>
    <w:rsid w:val="00784C50"/>
    <w:rsid w:val="007927EE"/>
    <w:rsid w:val="007D1D01"/>
    <w:rsid w:val="007E0618"/>
    <w:rsid w:val="00874721"/>
    <w:rsid w:val="00896208"/>
    <w:rsid w:val="00A07FE9"/>
    <w:rsid w:val="00A2612C"/>
    <w:rsid w:val="00A54B62"/>
    <w:rsid w:val="00B07856"/>
    <w:rsid w:val="00B3038E"/>
    <w:rsid w:val="00B6661C"/>
    <w:rsid w:val="00B67373"/>
    <w:rsid w:val="00B94DEB"/>
    <w:rsid w:val="00BB347C"/>
    <w:rsid w:val="00C27CA7"/>
    <w:rsid w:val="00C555FB"/>
    <w:rsid w:val="00C67178"/>
    <w:rsid w:val="00CB5C1F"/>
    <w:rsid w:val="00CD3772"/>
    <w:rsid w:val="00D3564B"/>
    <w:rsid w:val="00D47CFE"/>
    <w:rsid w:val="00D840EC"/>
    <w:rsid w:val="00E24848"/>
    <w:rsid w:val="00E570CD"/>
    <w:rsid w:val="00E85096"/>
    <w:rsid w:val="00F56728"/>
    <w:rsid w:val="00F70BC6"/>
    <w:rsid w:val="00F9073C"/>
    <w:rsid w:val="00F935BF"/>
    <w:rsid w:val="00F95340"/>
    <w:rsid w:val="00FA0F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2C"/>
    <w:pPr>
      <w:ind w:left="360" w:hanging="36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2C"/>
    <w:pPr>
      <w:ind w:left="720"/>
      <w:contextualSpacing/>
    </w:pPr>
  </w:style>
  <w:style w:type="paragraph" w:styleId="Header">
    <w:name w:val="header"/>
    <w:basedOn w:val="Normal"/>
    <w:link w:val="HeaderChar"/>
    <w:uiPriority w:val="99"/>
    <w:unhideWhenUsed/>
    <w:rsid w:val="00A2612C"/>
    <w:pPr>
      <w:tabs>
        <w:tab w:val="center" w:pos="4680"/>
        <w:tab w:val="right" w:pos="9360"/>
      </w:tabs>
    </w:pPr>
  </w:style>
  <w:style w:type="character" w:customStyle="1" w:styleId="HeaderChar">
    <w:name w:val="Header Char"/>
    <w:basedOn w:val="DefaultParagraphFont"/>
    <w:link w:val="Header"/>
    <w:uiPriority w:val="99"/>
    <w:rsid w:val="00A2612C"/>
    <w:rPr>
      <w:rFonts w:ascii="Calibri" w:eastAsia="Calibri" w:hAnsi="Calibri" w:cs="Times New Roman"/>
      <w:sz w:val="22"/>
      <w:szCs w:val="22"/>
    </w:rPr>
  </w:style>
  <w:style w:type="paragraph" w:styleId="Footer">
    <w:name w:val="footer"/>
    <w:basedOn w:val="Normal"/>
    <w:link w:val="FooterChar"/>
    <w:uiPriority w:val="99"/>
    <w:unhideWhenUsed/>
    <w:rsid w:val="00A2612C"/>
    <w:pPr>
      <w:tabs>
        <w:tab w:val="center" w:pos="4680"/>
        <w:tab w:val="right" w:pos="9360"/>
      </w:tabs>
    </w:pPr>
  </w:style>
  <w:style w:type="character" w:customStyle="1" w:styleId="FooterChar">
    <w:name w:val="Footer Char"/>
    <w:basedOn w:val="DefaultParagraphFont"/>
    <w:link w:val="Footer"/>
    <w:uiPriority w:val="99"/>
    <w:rsid w:val="00A2612C"/>
    <w:rPr>
      <w:rFonts w:ascii="Calibri" w:eastAsia="Calibri" w:hAnsi="Calibri" w:cs="Times New Roman"/>
      <w:sz w:val="22"/>
      <w:szCs w:val="22"/>
    </w:rPr>
  </w:style>
  <w:style w:type="character" w:styleId="Hyperlink">
    <w:name w:val="Hyperlink"/>
    <w:basedOn w:val="DefaultParagraphFont"/>
    <w:uiPriority w:val="99"/>
    <w:unhideWhenUsed/>
    <w:rsid w:val="00A2612C"/>
    <w:rPr>
      <w:color w:val="0000FF" w:themeColor="hyperlink"/>
      <w:u w:val="single"/>
    </w:rPr>
  </w:style>
  <w:style w:type="paragraph" w:styleId="BalloonText">
    <w:name w:val="Balloon Text"/>
    <w:basedOn w:val="Normal"/>
    <w:link w:val="BalloonTextChar"/>
    <w:uiPriority w:val="99"/>
    <w:semiHidden/>
    <w:unhideWhenUsed/>
    <w:rsid w:val="00490DC1"/>
    <w:rPr>
      <w:rFonts w:ascii="Tahoma" w:hAnsi="Tahoma" w:cs="Tahoma"/>
      <w:sz w:val="16"/>
      <w:szCs w:val="16"/>
    </w:rPr>
  </w:style>
  <w:style w:type="character" w:customStyle="1" w:styleId="BalloonTextChar">
    <w:name w:val="Balloon Text Char"/>
    <w:basedOn w:val="DefaultParagraphFont"/>
    <w:link w:val="BalloonText"/>
    <w:uiPriority w:val="99"/>
    <w:semiHidden/>
    <w:rsid w:val="00490DC1"/>
    <w:rPr>
      <w:rFonts w:ascii="Tahoma" w:eastAsia="Calibri" w:hAnsi="Tahoma" w:cs="Tahoma"/>
      <w:sz w:val="16"/>
      <w:szCs w:val="16"/>
    </w:rPr>
  </w:style>
  <w:style w:type="paragraph" w:customStyle="1" w:styleId="Default">
    <w:name w:val="Default"/>
    <w:rsid w:val="00657AF0"/>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47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2C"/>
    <w:pPr>
      <w:ind w:left="360" w:hanging="36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2C"/>
    <w:pPr>
      <w:ind w:left="720"/>
      <w:contextualSpacing/>
    </w:pPr>
  </w:style>
  <w:style w:type="paragraph" w:styleId="Header">
    <w:name w:val="header"/>
    <w:basedOn w:val="Normal"/>
    <w:link w:val="HeaderChar"/>
    <w:uiPriority w:val="99"/>
    <w:unhideWhenUsed/>
    <w:rsid w:val="00A2612C"/>
    <w:pPr>
      <w:tabs>
        <w:tab w:val="center" w:pos="4680"/>
        <w:tab w:val="right" w:pos="9360"/>
      </w:tabs>
    </w:pPr>
  </w:style>
  <w:style w:type="character" w:customStyle="1" w:styleId="HeaderChar">
    <w:name w:val="Header Char"/>
    <w:basedOn w:val="DefaultParagraphFont"/>
    <w:link w:val="Header"/>
    <w:uiPriority w:val="99"/>
    <w:rsid w:val="00A2612C"/>
    <w:rPr>
      <w:rFonts w:ascii="Calibri" w:eastAsia="Calibri" w:hAnsi="Calibri" w:cs="Times New Roman"/>
      <w:sz w:val="22"/>
      <w:szCs w:val="22"/>
    </w:rPr>
  </w:style>
  <w:style w:type="paragraph" w:styleId="Footer">
    <w:name w:val="footer"/>
    <w:basedOn w:val="Normal"/>
    <w:link w:val="FooterChar"/>
    <w:uiPriority w:val="99"/>
    <w:unhideWhenUsed/>
    <w:rsid w:val="00A2612C"/>
    <w:pPr>
      <w:tabs>
        <w:tab w:val="center" w:pos="4680"/>
        <w:tab w:val="right" w:pos="9360"/>
      </w:tabs>
    </w:pPr>
  </w:style>
  <w:style w:type="character" w:customStyle="1" w:styleId="FooterChar">
    <w:name w:val="Footer Char"/>
    <w:basedOn w:val="DefaultParagraphFont"/>
    <w:link w:val="Footer"/>
    <w:uiPriority w:val="99"/>
    <w:rsid w:val="00A2612C"/>
    <w:rPr>
      <w:rFonts w:ascii="Calibri" w:eastAsia="Calibri" w:hAnsi="Calibri" w:cs="Times New Roman"/>
      <w:sz w:val="22"/>
      <w:szCs w:val="22"/>
    </w:rPr>
  </w:style>
  <w:style w:type="character" w:styleId="Hyperlink">
    <w:name w:val="Hyperlink"/>
    <w:basedOn w:val="DefaultParagraphFont"/>
    <w:uiPriority w:val="99"/>
    <w:unhideWhenUsed/>
    <w:rsid w:val="00A2612C"/>
    <w:rPr>
      <w:color w:val="0000FF" w:themeColor="hyperlink"/>
      <w:u w:val="single"/>
    </w:rPr>
  </w:style>
  <w:style w:type="paragraph" w:styleId="BalloonText">
    <w:name w:val="Balloon Text"/>
    <w:basedOn w:val="Normal"/>
    <w:link w:val="BalloonTextChar"/>
    <w:uiPriority w:val="99"/>
    <w:semiHidden/>
    <w:unhideWhenUsed/>
    <w:rsid w:val="00490DC1"/>
    <w:rPr>
      <w:rFonts w:ascii="Tahoma" w:hAnsi="Tahoma" w:cs="Tahoma"/>
      <w:sz w:val="16"/>
      <w:szCs w:val="16"/>
    </w:rPr>
  </w:style>
  <w:style w:type="character" w:customStyle="1" w:styleId="BalloonTextChar">
    <w:name w:val="Balloon Text Char"/>
    <w:basedOn w:val="DefaultParagraphFont"/>
    <w:link w:val="BalloonText"/>
    <w:uiPriority w:val="99"/>
    <w:semiHidden/>
    <w:rsid w:val="00490DC1"/>
    <w:rPr>
      <w:rFonts w:ascii="Tahoma" w:eastAsia="Calibri" w:hAnsi="Tahoma" w:cs="Tahoma"/>
      <w:sz w:val="16"/>
      <w:szCs w:val="16"/>
    </w:rPr>
  </w:style>
  <w:style w:type="paragraph" w:customStyle="1" w:styleId="Default">
    <w:name w:val="Default"/>
    <w:rsid w:val="00657AF0"/>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47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220">
      <w:bodyDiv w:val="1"/>
      <w:marLeft w:val="0"/>
      <w:marRight w:val="0"/>
      <w:marTop w:val="0"/>
      <w:marBottom w:val="0"/>
      <w:divBdr>
        <w:top w:val="none" w:sz="0" w:space="0" w:color="auto"/>
        <w:left w:val="none" w:sz="0" w:space="0" w:color="auto"/>
        <w:bottom w:val="none" w:sz="0" w:space="0" w:color="auto"/>
        <w:right w:val="none" w:sz="0" w:space="0" w:color="auto"/>
      </w:divBdr>
      <w:divsChild>
        <w:div w:id="515116302">
          <w:marLeft w:val="965"/>
          <w:marRight w:val="0"/>
          <w:marTop w:val="400"/>
          <w:marBottom w:val="0"/>
          <w:divBdr>
            <w:top w:val="none" w:sz="0" w:space="0" w:color="auto"/>
            <w:left w:val="none" w:sz="0" w:space="0" w:color="auto"/>
            <w:bottom w:val="none" w:sz="0" w:space="0" w:color="auto"/>
            <w:right w:val="none" w:sz="0" w:space="0" w:color="auto"/>
          </w:divBdr>
        </w:div>
        <w:div w:id="1258443845">
          <w:marLeft w:val="965"/>
          <w:marRight w:val="0"/>
          <w:marTop w:val="400"/>
          <w:marBottom w:val="0"/>
          <w:divBdr>
            <w:top w:val="none" w:sz="0" w:space="0" w:color="auto"/>
            <w:left w:val="none" w:sz="0" w:space="0" w:color="auto"/>
            <w:bottom w:val="none" w:sz="0" w:space="0" w:color="auto"/>
            <w:right w:val="none" w:sz="0" w:space="0" w:color="auto"/>
          </w:divBdr>
        </w:div>
        <w:div w:id="1952931611">
          <w:marLeft w:val="1685"/>
          <w:marRight w:val="0"/>
          <w:marTop w:val="120"/>
          <w:marBottom w:val="0"/>
          <w:divBdr>
            <w:top w:val="none" w:sz="0" w:space="0" w:color="auto"/>
            <w:left w:val="none" w:sz="0" w:space="0" w:color="auto"/>
            <w:bottom w:val="none" w:sz="0" w:space="0" w:color="auto"/>
            <w:right w:val="none" w:sz="0" w:space="0" w:color="auto"/>
          </w:divBdr>
        </w:div>
        <w:div w:id="301542416">
          <w:marLeft w:val="1685"/>
          <w:marRight w:val="0"/>
          <w:marTop w:val="120"/>
          <w:marBottom w:val="0"/>
          <w:divBdr>
            <w:top w:val="none" w:sz="0" w:space="0" w:color="auto"/>
            <w:left w:val="none" w:sz="0" w:space="0" w:color="auto"/>
            <w:bottom w:val="none" w:sz="0" w:space="0" w:color="auto"/>
            <w:right w:val="none" w:sz="0" w:space="0" w:color="auto"/>
          </w:divBdr>
        </w:div>
      </w:divsChild>
    </w:div>
    <w:div w:id="504904568">
      <w:bodyDiv w:val="1"/>
      <w:marLeft w:val="0"/>
      <w:marRight w:val="0"/>
      <w:marTop w:val="0"/>
      <w:marBottom w:val="0"/>
      <w:divBdr>
        <w:top w:val="none" w:sz="0" w:space="0" w:color="auto"/>
        <w:left w:val="none" w:sz="0" w:space="0" w:color="auto"/>
        <w:bottom w:val="none" w:sz="0" w:space="0" w:color="auto"/>
        <w:right w:val="none" w:sz="0" w:space="0" w:color="auto"/>
      </w:divBdr>
      <w:divsChild>
        <w:div w:id="1518423583">
          <w:marLeft w:val="965"/>
          <w:marRight w:val="0"/>
          <w:marTop w:val="120"/>
          <w:marBottom w:val="120"/>
          <w:divBdr>
            <w:top w:val="none" w:sz="0" w:space="0" w:color="auto"/>
            <w:left w:val="none" w:sz="0" w:space="0" w:color="auto"/>
            <w:bottom w:val="none" w:sz="0" w:space="0" w:color="auto"/>
            <w:right w:val="none" w:sz="0" w:space="0" w:color="auto"/>
          </w:divBdr>
        </w:div>
        <w:div w:id="885484196">
          <w:marLeft w:val="965"/>
          <w:marRight w:val="0"/>
          <w:marTop w:val="120"/>
          <w:marBottom w:val="120"/>
          <w:divBdr>
            <w:top w:val="none" w:sz="0" w:space="0" w:color="auto"/>
            <w:left w:val="none" w:sz="0" w:space="0" w:color="auto"/>
            <w:bottom w:val="none" w:sz="0" w:space="0" w:color="auto"/>
            <w:right w:val="none" w:sz="0" w:space="0" w:color="auto"/>
          </w:divBdr>
        </w:div>
        <w:div w:id="748119581">
          <w:marLeft w:val="1685"/>
          <w:marRight w:val="0"/>
          <w:marTop w:val="120"/>
          <w:marBottom w:val="0"/>
          <w:divBdr>
            <w:top w:val="none" w:sz="0" w:space="0" w:color="auto"/>
            <w:left w:val="none" w:sz="0" w:space="0" w:color="auto"/>
            <w:bottom w:val="none" w:sz="0" w:space="0" w:color="auto"/>
            <w:right w:val="none" w:sz="0" w:space="0" w:color="auto"/>
          </w:divBdr>
        </w:div>
        <w:div w:id="437410381">
          <w:marLeft w:val="1685"/>
          <w:marRight w:val="0"/>
          <w:marTop w:val="120"/>
          <w:marBottom w:val="120"/>
          <w:divBdr>
            <w:top w:val="none" w:sz="0" w:space="0" w:color="auto"/>
            <w:left w:val="none" w:sz="0" w:space="0" w:color="auto"/>
            <w:bottom w:val="none" w:sz="0" w:space="0" w:color="auto"/>
            <w:right w:val="none" w:sz="0" w:space="0" w:color="auto"/>
          </w:divBdr>
        </w:div>
        <w:div w:id="123736079">
          <w:marLeft w:val="965"/>
          <w:marRight w:val="0"/>
          <w:marTop w:val="120"/>
          <w:marBottom w:val="120"/>
          <w:divBdr>
            <w:top w:val="none" w:sz="0" w:space="0" w:color="auto"/>
            <w:left w:val="none" w:sz="0" w:space="0" w:color="auto"/>
            <w:bottom w:val="none" w:sz="0" w:space="0" w:color="auto"/>
            <w:right w:val="none" w:sz="0" w:space="0" w:color="auto"/>
          </w:divBdr>
        </w:div>
      </w:divsChild>
    </w:div>
    <w:div w:id="689259890">
      <w:bodyDiv w:val="1"/>
      <w:marLeft w:val="0"/>
      <w:marRight w:val="0"/>
      <w:marTop w:val="0"/>
      <w:marBottom w:val="0"/>
      <w:divBdr>
        <w:top w:val="none" w:sz="0" w:space="0" w:color="auto"/>
        <w:left w:val="none" w:sz="0" w:space="0" w:color="auto"/>
        <w:bottom w:val="none" w:sz="0" w:space="0" w:color="auto"/>
        <w:right w:val="none" w:sz="0" w:space="0" w:color="auto"/>
      </w:divBdr>
      <w:divsChild>
        <w:div w:id="1264915920">
          <w:marLeft w:val="965"/>
          <w:marRight w:val="0"/>
          <w:marTop w:val="120"/>
          <w:marBottom w:val="120"/>
          <w:divBdr>
            <w:top w:val="none" w:sz="0" w:space="0" w:color="auto"/>
            <w:left w:val="none" w:sz="0" w:space="0" w:color="auto"/>
            <w:bottom w:val="none" w:sz="0" w:space="0" w:color="auto"/>
            <w:right w:val="none" w:sz="0" w:space="0" w:color="auto"/>
          </w:divBdr>
        </w:div>
        <w:div w:id="1149974603">
          <w:marLeft w:val="965"/>
          <w:marRight w:val="0"/>
          <w:marTop w:val="120"/>
          <w:marBottom w:val="120"/>
          <w:divBdr>
            <w:top w:val="none" w:sz="0" w:space="0" w:color="auto"/>
            <w:left w:val="none" w:sz="0" w:space="0" w:color="auto"/>
            <w:bottom w:val="none" w:sz="0" w:space="0" w:color="auto"/>
            <w:right w:val="none" w:sz="0" w:space="0" w:color="auto"/>
          </w:divBdr>
        </w:div>
        <w:div w:id="403920653">
          <w:marLeft w:val="1685"/>
          <w:marRight w:val="0"/>
          <w:marTop w:val="120"/>
          <w:marBottom w:val="0"/>
          <w:divBdr>
            <w:top w:val="none" w:sz="0" w:space="0" w:color="auto"/>
            <w:left w:val="none" w:sz="0" w:space="0" w:color="auto"/>
            <w:bottom w:val="none" w:sz="0" w:space="0" w:color="auto"/>
            <w:right w:val="none" w:sz="0" w:space="0" w:color="auto"/>
          </w:divBdr>
        </w:div>
        <w:div w:id="1057974791">
          <w:marLeft w:val="1685"/>
          <w:marRight w:val="0"/>
          <w:marTop w:val="120"/>
          <w:marBottom w:val="120"/>
          <w:divBdr>
            <w:top w:val="none" w:sz="0" w:space="0" w:color="auto"/>
            <w:left w:val="none" w:sz="0" w:space="0" w:color="auto"/>
            <w:bottom w:val="none" w:sz="0" w:space="0" w:color="auto"/>
            <w:right w:val="none" w:sz="0" w:space="0" w:color="auto"/>
          </w:divBdr>
        </w:div>
        <w:div w:id="207494224">
          <w:marLeft w:val="965"/>
          <w:marRight w:val="0"/>
          <w:marTop w:val="120"/>
          <w:marBottom w:val="120"/>
          <w:divBdr>
            <w:top w:val="none" w:sz="0" w:space="0" w:color="auto"/>
            <w:left w:val="none" w:sz="0" w:space="0" w:color="auto"/>
            <w:bottom w:val="none" w:sz="0" w:space="0" w:color="auto"/>
            <w:right w:val="none" w:sz="0" w:space="0" w:color="auto"/>
          </w:divBdr>
        </w:div>
      </w:divsChild>
    </w:div>
    <w:div w:id="1145045295">
      <w:bodyDiv w:val="1"/>
      <w:marLeft w:val="0"/>
      <w:marRight w:val="0"/>
      <w:marTop w:val="0"/>
      <w:marBottom w:val="0"/>
      <w:divBdr>
        <w:top w:val="none" w:sz="0" w:space="0" w:color="auto"/>
        <w:left w:val="none" w:sz="0" w:space="0" w:color="auto"/>
        <w:bottom w:val="none" w:sz="0" w:space="0" w:color="auto"/>
        <w:right w:val="none" w:sz="0" w:space="0" w:color="auto"/>
      </w:divBdr>
    </w:div>
    <w:div w:id="1538547405">
      <w:bodyDiv w:val="1"/>
      <w:marLeft w:val="0"/>
      <w:marRight w:val="0"/>
      <w:marTop w:val="0"/>
      <w:marBottom w:val="0"/>
      <w:divBdr>
        <w:top w:val="none" w:sz="0" w:space="0" w:color="auto"/>
        <w:left w:val="none" w:sz="0" w:space="0" w:color="auto"/>
        <w:bottom w:val="none" w:sz="0" w:space="0" w:color="auto"/>
        <w:right w:val="none" w:sz="0" w:space="0" w:color="auto"/>
      </w:divBdr>
    </w:div>
    <w:div w:id="1815219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sttac.org" TargetMode="External"/><Relationship Id="rId4" Type="http://schemas.microsoft.com/office/2007/relationships/stylesWithEffects" Target="stylesWithEffects.xml"/><Relationship Id="rId9" Type="http://schemas.openxmlformats.org/officeDocument/2006/relationships/hyperlink" Target="http://www.nstta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9A16-64FB-4E3F-858F-095D8257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7112</Words>
  <Characters>40542</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NPSO</Company>
  <LinksUpToDate>false</LinksUpToDate>
  <CharactersWithSpaces>47559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Rowe</dc:creator>
  <cp:lastModifiedBy>test</cp:lastModifiedBy>
  <cp:revision>2</cp:revision>
  <cp:lastPrinted>2013-04-10T11:38:00Z</cp:lastPrinted>
  <dcterms:created xsi:type="dcterms:W3CDTF">2013-09-27T10:40:00Z</dcterms:created>
  <dcterms:modified xsi:type="dcterms:W3CDTF">2013-09-27T10:40:00Z</dcterms:modified>
</cp:coreProperties>
</file>