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45" w:rsidRDefault="00A9049E" w:rsidP="002647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65CCB0" wp14:editId="366A3C60">
            <wp:simplePos x="0" y="0"/>
            <wp:positionH relativeFrom="column">
              <wp:posOffset>28575</wp:posOffset>
            </wp:positionH>
            <wp:positionV relativeFrom="paragraph">
              <wp:posOffset>95885</wp:posOffset>
            </wp:positionV>
            <wp:extent cx="714375" cy="1009015"/>
            <wp:effectExtent l="0" t="0" r="9525" b="635"/>
            <wp:wrapSquare wrapText="bothSides"/>
            <wp:docPr id="2" name="Picture 2" descr="C:\Users\irene.jones\AppData\Local\Microsoft\Windows\Temporary Internet Files\Content.IE5\JJCSXSM7\MP900321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e.jones\AppData\Local\Microsoft\Windows\Temporary Internet Files\Content.IE5\JJCSXSM7\MP90032117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3C">
        <w:rPr>
          <w:b/>
          <w:sz w:val="28"/>
          <w:szCs w:val="28"/>
        </w:rPr>
        <w:t>Transition</w:t>
      </w:r>
      <w:r w:rsidR="00981B45" w:rsidRPr="002E3A73">
        <w:rPr>
          <w:b/>
          <w:sz w:val="28"/>
          <w:szCs w:val="28"/>
        </w:rPr>
        <w:t xml:space="preserve"> </w:t>
      </w:r>
      <w:r w:rsidR="00FA7724">
        <w:rPr>
          <w:b/>
          <w:sz w:val="28"/>
          <w:szCs w:val="28"/>
        </w:rPr>
        <w:t xml:space="preserve">from high school </w:t>
      </w:r>
      <w:r w:rsidR="00981B45" w:rsidRPr="002E3A73">
        <w:rPr>
          <w:b/>
          <w:sz w:val="28"/>
          <w:szCs w:val="28"/>
        </w:rPr>
        <w:t>to college can be difficult</w:t>
      </w:r>
      <w:r w:rsidR="00567B3C">
        <w:rPr>
          <w:b/>
          <w:sz w:val="28"/>
          <w:szCs w:val="28"/>
        </w:rPr>
        <w:t xml:space="preserve"> for a person with a disability</w:t>
      </w:r>
      <w:r w:rsidR="00981B45" w:rsidRPr="002E3A73">
        <w:rPr>
          <w:b/>
          <w:sz w:val="28"/>
          <w:szCs w:val="28"/>
        </w:rPr>
        <w:t xml:space="preserve">.  </w:t>
      </w:r>
      <w:r w:rsidR="00567B3C">
        <w:rPr>
          <w:b/>
          <w:sz w:val="28"/>
          <w:szCs w:val="28"/>
        </w:rPr>
        <w:t xml:space="preserve">Will you need accommodations in </w:t>
      </w:r>
      <w:r w:rsidR="00264701">
        <w:rPr>
          <w:b/>
          <w:sz w:val="28"/>
          <w:szCs w:val="28"/>
        </w:rPr>
        <w:t>a postsecondary institution</w:t>
      </w:r>
      <w:r w:rsidR="00567B3C">
        <w:rPr>
          <w:b/>
          <w:sz w:val="28"/>
          <w:szCs w:val="28"/>
        </w:rPr>
        <w:t xml:space="preserve">? Can you tell other people about your disability? </w:t>
      </w:r>
      <w:r w:rsidR="00B7759A">
        <w:rPr>
          <w:b/>
          <w:sz w:val="28"/>
          <w:szCs w:val="28"/>
        </w:rPr>
        <w:t xml:space="preserve">Here is some </w:t>
      </w:r>
      <w:r w:rsidR="00FA7724">
        <w:rPr>
          <w:b/>
          <w:sz w:val="28"/>
          <w:szCs w:val="28"/>
        </w:rPr>
        <w:t>information</w:t>
      </w:r>
      <w:r w:rsidR="00981B45" w:rsidRPr="002E3A73">
        <w:rPr>
          <w:b/>
          <w:sz w:val="28"/>
          <w:szCs w:val="28"/>
        </w:rPr>
        <w:t xml:space="preserve"> to </w:t>
      </w:r>
      <w:r w:rsidR="00100542">
        <w:rPr>
          <w:b/>
          <w:sz w:val="28"/>
          <w:szCs w:val="28"/>
        </w:rPr>
        <w:t xml:space="preserve">help you </w:t>
      </w:r>
      <w:r w:rsidR="00567B3C">
        <w:rPr>
          <w:b/>
          <w:sz w:val="28"/>
          <w:szCs w:val="28"/>
        </w:rPr>
        <w:t>prepare for college</w:t>
      </w:r>
      <w:r w:rsidR="00981B45" w:rsidRPr="002E3A73">
        <w:rPr>
          <w:b/>
          <w:sz w:val="28"/>
          <w:szCs w:val="28"/>
        </w:rPr>
        <w:t>.</w:t>
      </w:r>
    </w:p>
    <w:p w:rsidR="00567B3C" w:rsidRDefault="00567B3C" w:rsidP="00FA7724">
      <w:pPr>
        <w:rPr>
          <w:b/>
          <w:sz w:val="24"/>
          <w:szCs w:val="24"/>
        </w:rPr>
      </w:pPr>
      <w:r w:rsidRPr="00567B3C">
        <w:rPr>
          <w:b/>
          <w:sz w:val="24"/>
          <w:szCs w:val="24"/>
        </w:rPr>
        <w:t>Self-Advocacy</w:t>
      </w:r>
    </w:p>
    <w:p w:rsidR="00567B3C" w:rsidRPr="00567B3C" w:rsidRDefault="00567B3C" w:rsidP="00567B3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You need to be able to explain your disability and how it impacts your life.</w:t>
      </w:r>
    </w:p>
    <w:p w:rsidR="00567B3C" w:rsidRPr="00567B3C" w:rsidRDefault="00567B3C" w:rsidP="00FA772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67B3C">
        <w:rPr>
          <w:sz w:val="24"/>
          <w:szCs w:val="24"/>
        </w:rPr>
        <w:t>You need to be able to request reasonable accommodations.</w:t>
      </w:r>
    </w:p>
    <w:p w:rsidR="00FA7724" w:rsidRPr="00D46D86" w:rsidRDefault="00FA7724" w:rsidP="00FA7724">
      <w:pPr>
        <w:rPr>
          <w:b/>
          <w:sz w:val="24"/>
          <w:szCs w:val="24"/>
        </w:rPr>
      </w:pPr>
      <w:r w:rsidRPr="00D46D86">
        <w:rPr>
          <w:b/>
          <w:sz w:val="24"/>
          <w:szCs w:val="24"/>
        </w:rPr>
        <w:t xml:space="preserve">Documentation </w:t>
      </w:r>
      <w:r w:rsidR="00CF31B7">
        <w:rPr>
          <w:b/>
          <w:sz w:val="24"/>
          <w:szCs w:val="24"/>
        </w:rPr>
        <w:t xml:space="preserve">You May Need </w:t>
      </w:r>
    </w:p>
    <w:p w:rsidR="00FA7724" w:rsidRPr="00D46D86" w:rsidRDefault="00FA7724" w:rsidP="00FA77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D86">
        <w:rPr>
          <w:sz w:val="24"/>
          <w:szCs w:val="24"/>
        </w:rPr>
        <w:t>In order to request accommodations</w:t>
      </w:r>
      <w:r w:rsidR="00D46D86" w:rsidRPr="00D46D86">
        <w:rPr>
          <w:sz w:val="24"/>
          <w:szCs w:val="24"/>
        </w:rPr>
        <w:t xml:space="preserve"> at a postsecondary institution</w:t>
      </w:r>
      <w:r w:rsidRPr="00D46D86">
        <w:rPr>
          <w:sz w:val="24"/>
          <w:szCs w:val="24"/>
        </w:rPr>
        <w:t xml:space="preserve">, you need to provide </w:t>
      </w:r>
      <w:r w:rsidR="00CF2B50">
        <w:rPr>
          <w:sz w:val="24"/>
          <w:szCs w:val="24"/>
        </w:rPr>
        <w:t xml:space="preserve">information (known as documentation) </w:t>
      </w:r>
      <w:r w:rsidRPr="00D46D86">
        <w:rPr>
          <w:sz w:val="24"/>
          <w:szCs w:val="24"/>
        </w:rPr>
        <w:t>which</w:t>
      </w:r>
      <w:r w:rsidR="00D46D86" w:rsidRPr="00D46D86">
        <w:rPr>
          <w:sz w:val="24"/>
          <w:szCs w:val="24"/>
        </w:rPr>
        <w:t xml:space="preserve"> identifies your disability and how it impacts your life.</w:t>
      </w:r>
    </w:p>
    <w:p w:rsidR="00FA7724" w:rsidRPr="00D46D86" w:rsidRDefault="00FA7724" w:rsidP="00FA77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D86">
        <w:rPr>
          <w:sz w:val="24"/>
          <w:szCs w:val="24"/>
        </w:rPr>
        <w:t xml:space="preserve">Each institution has the right to determine its own documentation requirements and </w:t>
      </w:r>
      <w:r w:rsidR="00CF2B50">
        <w:rPr>
          <w:sz w:val="24"/>
          <w:szCs w:val="24"/>
        </w:rPr>
        <w:t xml:space="preserve">to make </w:t>
      </w:r>
      <w:r w:rsidRPr="00D46D86">
        <w:rPr>
          <w:sz w:val="24"/>
          <w:szCs w:val="24"/>
        </w:rPr>
        <w:t>recommendations for reasonable accommodations.</w:t>
      </w:r>
    </w:p>
    <w:p w:rsidR="00FA7724" w:rsidRPr="00D46D86" w:rsidRDefault="00CF2B50" w:rsidP="00FA77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A7724" w:rsidRPr="00D46D86">
        <w:rPr>
          <w:sz w:val="24"/>
          <w:szCs w:val="24"/>
        </w:rPr>
        <w:t xml:space="preserve">ocumentation </w:t>
      </w:r>
      <w:r w:rsidR="00FA7724" w:rsidRPr="00CF2B50">
        <w:rPr>
          <w:sz w:val="24"/>
          <w:szCs w:val="24"/>
        </w:rPr>
        <w:t>need</w:t>
      </w:r>
      <w:r>
        <w:rPr>
          <w:sz w:val="24"/>
          <w:szCs w:val="24"/>
        </w:rPr>
        <w:t>ed</w:t>
      </w:r>
      <w:r w:rsidR="00FA7724" w:rsidRPr="00D46D86">
        <w:rPr>
          <w:sz w:val="24"/>
          <w:szCs w:val="24"/>
        </w:rPr>
        <w:t xml:space="preserve"> may vary by disability and by postsecondary institution but may include documents such as your high school </w:t>
      </w:r>
      <w:r w:rsidR="00264701">
        <w:rPr>
          <w:sz w:val="24"/>
          <w:szCs w:val="24"/>
        </w:rPr>
        <w:t>E</w:t>
      </w:r>
      <w:r w:rsidR="00FA7724" w:rsidRPr="00D46D86">
        <w:rPr>
          <w:sz w:val="24"/>
          <w:szCs w:val="24"/>
        </w:rPr>
        <w:t xml:space="preserve">ligibility </w:t>
      </w:r>
      <w:r w:rsidR="00264701">
        <w:rPr>
          <w:sz w:val="24"/>
          <w:szCs w:val="24"/>
        </w:rPr>
        <w:t>R</w:t>
      </w:r>
      <w:r w:rsidR="00FA7724" w:rsidRPr="00D46D86">
        <w:rPr>
          <w:sz w:val="24"/>
          <w:szCs w:val="24"/>
        </w:rPr>
        <w:t>eport, your IEP</w:t>
      </w:r>
      <w:r>
        <w:rPr>
          <w:sz w:val="24"/>
          <w:szCs w:val="24"/>
        </w:rPr>
        <w:t xml:space="preserve"> or 504 </w:t>
      </w:r>
      <w:r w:rsidR="00264701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FA7724" w:rsidRPr="00D46D86">
        <w:rPr>
          <w:sz w:val="24"/>
          <w:szCs w:val="24"/>
        </w:rPr>
        <w:t>, your Summary of Performance, medical or mental h</w:t>
      </w:r>
      <w:r>
        <w:rPr>
          <w:sz w:val="24"/>
          <w:szCs w:val="24"/>
        </w:rPr>
        <w:t>ealth professional reports, and</w:t>
      </w:r>
      <w:r w:rsidR="00FA7724" w:rsidRPr="00D46D86">
        <w:rPr>
          <w:sz w:val="24"/>
          <w:szCs w:val="24"/>
        </w:rPr>
        <w:t xml:space="preserve"> a psycho</w:t>
      </w:r>
      <w:r w:rsidR="00981582">
        <w:rPr>
          <w:sz w:val="24"/>
          <w:szCs w:val="24"/>
        </w:rPr>
        <w:t>-</w:t>
      </w:r>
      <w:r w:rsidR="00FA7724" w:rsidRPr="00D46D86">
        <w:rPr>
          <w:sz w:val="24"/>
          <w:szCs w:val="24"/>
        </w:rPr>
        <w:t>educational evaluation.</w:t>
      </w:r>
      <w:r>
        <w:rPr>
          <w:sz w:val="24"/>
          <w:szCs w:val="24"/>
        </w:rPr>
        <w:t xml:space="preserve">  </w:t>
      </w:r>
    </w:p>
    <w:p w:rsidR="00FA7724" w:rsidRPr="00D46D86" w:rsidRDefault="00FA7724" w:rsidP="00FA7724">
      <w:pPr>
        <w:rPr>
          <w:b/>
          <w:sz w:val="24"/>
          <w:szCs w:val="24"/>
        </w:rPr>
      </w:pPr>
      <w:r w:rsidRPr="00D46D86">
        <w:rPr>
          <w:b/>
          <w:sz w:val="24"/>
          <w:szCs w:val="24"/>
        </w:rPr>
        <w:t>Process to Request Accommodations</w:t>
      </w:r>
      <w:r w:rsidR="00CF31B7">
        <w:rPr>
          <w:b/>
          <w:sz w:val="24"/>
          <w:szCs w:val="24"/>
        </w:rPr>
        <w:t xml:space="preserve"> </w:t>
      </w:r>
    </w:p>
    <w:p w:rsidR="00FA7724" w:rsidRPr="00D46D86" w:rsidRDefault="0041096B" w:rsidP="00D46D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Idaho has developed the Moving On </w:t>
      </w:r>
      <w:r w:rsidR="00981582">
        <w:rPr>
          <w:sz w:val="24"/>
          <w:szCs w:val="24"/>
        </w:rPr>
        <w:t>b</w:t>
      </w:r>
      <w:r>
        <w:rPr>
          <w:sz w:val="24"/>
          <w:szCs w:val="24"/>
        </w:rPr>
        <w:t xml:space="preserve">inder to help you transition from high school to adult life. </w:t>
      </w:r>
      <w:r w:rsidR="00FA7724" w:rsidRPr="00D46D86">
        <w:rPr>
          <w:sz w:val="24"/>
          <w:szCs w:val="24"/>
        </w:rPr>
        <w:t xml:space="preserve">Use your Moving On </w:t>
      </w:r>
      <w:r w:rsidR="00981582">
        <w:rPr>
          <w:sz w:val="24"/>
          <w:szCs w:val="24"/>
        </w:rPr>
        <w:t>b</w:t>
      </w:r>
      <w:r w:rsidR="00FA7724" w:rsidRPr="00D46D86">
        <w:rPr>
          <w:sz w:val="24"/>
          <w:szCs w:val="24"/>
        </w:rPr>
        <w:t>inder to organize your documentation</w:t>
      </w:r>
      <w:r>
        <w:rPr>
          <w:sz w:val="24"/>
          <w:szCs w:val="24"/>
        </w:rPr>
        <w:t xml:space="preserve"> for college.</w:t>
      </w:r>
      <w:r w:rsidR="00FA7724" w:rsidRPr="00D46D86">
        <w:rPr>
          <w:sz w:val="24"/>
          <w:szCs w:val="24"/>
        </w:rPr>
        <w:t xml:space="preserve">  Ask your high school teacher or case manager for in</w:t>
      </w:r>
      <w:r w:rsidR="00D46D86">
        <w:rPr>
          <w:sz w:val="24"/>
          <w:szCs w:val="24"/>
        </w:rPr>
        <w:t>formation on obtaining a binder, if you don’t already have one.</w:t>
      </w:r>
      <w:r w:rsidR="00FA7724" w:rsidRPr="00D46D86">
        <w:rPr>
          <w:sz w:val="24"/>
          <w:szCs w:val="24"/>
        </w:rPr>
        <w:t xml:space="preserve"> </w:t>
      </w:r>
    </w:p>
    <w:p w:rsidR="00FA7724" w:rsidRPr="00D46D86" w:rsidRDefault="00FA7724" w:rsidP="00FA77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6D86">
        <w:rPr>
          <w:sz w:val="24"/>
          <w:szCs w:val="24"/>
        </w:rPr>
        <w:t>To identify the type of documentation you will need, contact the Disability Service</w:t>
      </w:r>
      <w:r w:rsidR="00264701">
        <w:rPr>
          <w:sz w:val="24"/>
          <w:szCs w:val="24"/>
        </w:rPr>
        <w:t>s</w:t>
      </w:r>
      <w:r w:rsidRPr="00D46D86">
        <w:rPr>
          <w:sz w:val="24"/>
          <w:szCs w:val="24"/>
        </w:rPr>
        <w:t xml:space="preserve"> </w:t>
      </w:r>
      <w:r w:rsidR="00821124">
        <w:rPr>
          <w:sz w:val="24"/>
          <w:szCs w:val="24"/>
        </w:rPr>
        <w:t>o</w:t>
      </w:r>
      <w:r w:rsidRPr="00D46D86">
        <w:rPr>
          <w:sz w:val="24"/>
          <w:szCs w:val="24"/>
        </w:rPr>
        <w:t>ffice on the college campus you want to attend.</w:t>
      </w:r>
    </w:p>
    <w:p w:rsidR="00FA7724" w:rsidRPr="00D46D86" w:rsidRDefault="00FA7724" w:rsidP="00FA77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6D86">
        <w:rPr>
          <w:sz w:val="24"/>
          <w:szCs w:val="24"/>
        </w:rPr>
        <w:t>Register for classes and then meet again with the Disability Services office to discuss your specific needs.</w:t>
      </w:r>
      <w:r w:rsidR="00D46D86" w:rsidRPr="00D46D86">
        <w:rPr>
          <w:sz w:val="24"/>
          <w:szCs w:val="24"/>
        </w:rPr>
        <w:t xml:space="preserve">  Don’t forget to take your Moving On binder to the meeting.</w:t>
      </w:r>
    </w:p>
    <w:p w:rsidR="00FA7724" w:rsidRDefault="00FA7724" w:rsidP="00FA77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6D86">
        <w:rPr>
          <w:sz w:val="24"/>
          <w:szCs w:val="24"/>
        </w:rPr>
        <w:t>Remember that accommodations sometimes take several weeks to prepare and typically are not retroactive.</w:t>
      </w:r>
      <w:r w:rsidR="00D46D86" w:rsidRPr="00D46D86">
        <w:rPr>
          <w:sz w:val="24"/>
          <w:szCs w:val="24"/>
        </w:rPr>
        <w:t xml:space="preserve">  </w:t>
      </w:r>
      <w:r w:rsidR="00D46D86" w:rsidRPr="00CF2B50">
        <w:rPr>
          <w:b/>
          <w:sz w:val="24"/>
          <w:szCs w:val="24"/>
        </w:rPr>
        <w:t>Plan ahead!</w:t>
      </w:r>
    </w:p>
    <w:p w:rsidR="00CF31B7" w:rsidRDefault="00CF31B7" w:rsidP="00C0616F">
      <w:pPr>
        <w:spacing w:after="0"/>
        <w:rPr>
          <w:b/>
        </w:rPr>
      </w:pPr>
      <w:r>
        <w:rPr>
          <w:b/>
        </w:rPr>
        <w:t>Resources</w:t>
      </w:r>
    </w:p>
    <w:p w:rsidR="00D83507" w:rsidRDefault="00D83507" w:rsidP="001B140C">
      <w:pPr>
        <w:pStyle w:val="ListParagraph"/>
        <w:numPr>
          <w:ilvl w:val="0"/>
          <w:numId w:val="6"/>
        </w:numPr>
        <w:spacing w:after="0"/>
      </w:pPr>
      <w:r>
        <w:t>The Idaho Moving On binder</w:t>
      </w:r>
      <w:r w:rsidR="00981582">
        <w:t>:</w:t>
      </w:r>
      <w:r w:rsidR="00821124" w:rsidRPr="00821124">
        <w:t xml:space="preserve"> </w:t>
      </w:r>
      <w:hyperlink r:id="rId7" w:anchor="2155193-moving-on-binder" w:history="1">
        <w:r w:rsidR="001B140C" w:rsidRPr="00F879C4">
          <w:rPr>
            <w:rStyle w:val="Hyperlink"/>
          </w:rPr>
          <w:t>http://idahotc.com/secondary-transition/Documents.aspx#2155193-moving-on-binder</w:t>
        </w:r>
      </w:hyperlink>
      <w:r w:rsidR="001B140C">
        <w:t xml:space="preserve"> </w:t>
      </w:r>
    </w:p>
    <w:p w:rsidR="00C0616F" w:rsidRDefault="00CF31B7" w:rsidP="00CF31B7">
      <w:pPr>
        <w:pStyle w:val="ListParagraph"/>
        <w:numPr>
          <w:ilvl w:val="0"/>
          <w:numId w:val="6"/>
        </w:numPr>
        <w:spacing w:after="0"/>
      </w:pPr>
      <w:r>
        <w:t>F</w:t>
      </w:r>
      <w:r w:rsidR="00C0616F">
        <w:t xml:space="preserve">or parents and youth </w:t>
      </w:r>
      <w:r>
        <w:t xml:space="preserve">- </w:t>
      </w:r>
      <w:r w:rsidR="00C0616F" w:rsidRPr="00CF31B7">
        <w:rPr>
          <w:i/>
        </w:rPr>
        <w:t xml:space="preserve">Students </w:t>
      </w:r>
      <w:proofErr w:type="gramStart"/>
      <w:r w:rsidR="00C0616F" w:rsidRPr="00CF31B7">
        <w:rPr>
          <w:i/>
        </w:rPr>
        <w:t>With</w:t>
      </w:r>
      <w:proofErr w:type="gramEnd"/>
      <w:r w:rsidR="00C0616F" w:rsidRPr="00CF31B7">
        <w:rPr>
          <w:i/>
        </w:rPr>
        <w:t xml:space="preserve"> Disabilities Preparing for Postsecondary Education:  Know Your Rights and Responsibilities. </w:t>
      </w:r>
      <w:r w:rsidR="00C0616F">
        <w:t xml:space="preserve"> This booklet </w:t>
      </w:r>
      <w:r w:rsidR="00264701">
        <w:t>,</w:t>
      </w:r>
      <w:r w:rsidR="00C0616F">
        <w:t xml:space="preserve"> published by the U.S. Department of Education Office for Civil Rights, is available online at </w:t>
      </w:r>
      <w:hyperlink r:id="rId8" w:history="1">
        <w:r w:rsidR="00C0616F" w:rsidRPr="00043906">
          <w:rPr>
            <w:rStyle w:val="Hyperlink"/>
          </w:rPr>
          <w:t>http://edpubs.gov</w:t>
        </w:r>
      </w:hyperlink>
      <w:r w:rsidR="00C0616F">
        <w:t xml:space="preserve"> or by calling 1-877-433-7827</w:t>
      </w:r>
      <w:r w:rsidR="00981582">
        <w:t>:</w:t>
      </w:r>
    </w:p>
    <w:p w:rsidR="00D46D86" w:rsidRPr="00CF31B7" w:rsidRDefault="00CF31B7" w:rsidP="00C0616F">
      <w:pPr>
        <w:pStyle w:val="ListParagraph"/>
        <w:numPr>
          <w:ilvl w:val="0"/>
          <w:numId w:val="6"/>
        </w:numPr>
        <w:spacing w:after="0"/>
        <w:rPr>
          <w:rStyle w:val="pagecol21"/>
          <w:bCs/>
          <w:i/>
        </w:rPr>
      </w:pPr>
      <w:r>
        <w:t xml:space="preserve">For educators - </w:t>
      </w:r>
      <w:r w:rsidR="00C0616F" w:rsidRPr="00CF31B7">
        <w:rPr>
          <w:rStyle w:val="pagecol21"/>
          <w:bCs/>
          <w:i/>
        </w:rPr>
        <w:t>Transition of Students with Disabilities to Postsecondary Education: A Guide for High School Educators</w:t>
      </w:r>
      <w:r w:rsidRPr="00CF31B7">
        <w:t xml:space="preserve"> </w:t>
      </w:r>
      <w:r>
        <w:t>(also available from the website listed above).</w:t>
      </w:r>
    </w:p>
    <w:p w:rsidR="00B7759A" w:rsidRDefault="00B7759A" w:rsidP="00C0616F">
      <w:pPr>
        <w:rPr>
          <w:rStyle w:val="pagecol21"/>
          <w:bCs/>
          <w:i/>
        </w:rPr>
      </w:pPr>
    </w:p>
    <w:p w:rsidR="00B7759A" w:rsidRPr="00100542" w:rsidRDefault="00B7759A" w:rsidP="00B7759A">
      <w:pPr>
        <w:rPr>
          <w:b/>
          <w:sz w:val="32"/>
          <w:szCs w:val="32"/>
        </w:rPr>
      </w:pPr>
      <w:r w:rsidRPr="00100542">
        <w:rPr>
          <w:b/>
          <w:sz w:val="32"/>
          <w:szCs w:val="32"/>
        </w:rPr>
        <w:t>Good luck and have fun!</w:t>
      </w:r>
    </w:p>
    <w:p w:rsidR="00B7759A" w:rsidRPr="00B7759A" w:rsidRDefault="00B7759A" w:rsidP="00C0616F">
      <w:pPr>
        <w:rPr>
          <w:sz w:val="24"/>
          <w:szCs w:val="24"/>
        </w:rPr>
      </w:pPr>
    </w:p>
    <w:p w:rsidR="00B7759A" w:rsidRDefault="00B7759A" w:rsidP="00B7759A">
      <w:r>
        <w:lastRenderedPageBreak/>
        <w:t>Published by the Idaho Partnership on Higher Education and Disability (IPHED) February 2014</w:t>
      </w:r>
    </w:p>
    <w:p w:rsidR="00FA7724" w:rsidRDefault="00FA7724" w:rsidP="00C0428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5C241B" w:rsidRPr="00A9049E" w:rsidRDefault="005C241B" w:rsidP="00A9049E">
      <w:pPr>
        <w:pStyle w:val="ListParagraph"/>
        <w:ind w:left="0"/>
        <w:jc w:val="center"/>
        <w:rPr>
          <w:rFonts w:ascii="Arial" w:hAnsi="Arial" w:cs="Arial"/>
          <w:b/>
          <w:sz w:val="24"/>
          <w:szCs w:val="16"/>
        </w:rPr>
      </w:pPr>
      <w:r w:rsidRPr="00A9049E">
        <w:rPr>
          <w:rFonts w:ascii="Arial" w:hAnsi="Arial" w:cs="Arial"/>
          <w:b/>
          <w:sz w:val="24"/>
          <w:szCs w:val="16"/>
        </w:rPr>
        <w:t>High School and College for Students with Disabilities:</w:t>
      </w:r>
      <w:r w:rsidRPr="00A9049E">
        <w:rPr>
          <w:rFonts w:ascii="Arial" w:hAnsi="Arial" w:cs="Arial"/>
          <w:sz w:val="24"/>
          <w:szCs w:val="16"/>
        </w:rPr>
        <w:t xml:space="preserve"> </w:t>
      </w:r>
      <w:r w:rsidRPr="00A9049E">
        <w:rPr>
          <w:rFonts w:ascii="Arial" w:hAnsi="Arial" w:cs="Arial"/>
          <w:b/>
          <w:sz w:val="24"/>
          <w:szCs w:val="16"/>
        </w:rPr>
        <w:t>Key Differences</w:t>
      </w:r>
    </w:p>
    <w:p w:rsidR="005C241B" w:rsidRPr="00C0616F" w:rsidRDefault="005C241B" w:rsidP="00C04289">
      <w:pPr>
        <w:pStyle w:val="ListParagraph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C241B" w:rsidRPr="00C0616F" w:rsidTr="00A9049E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High School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College</w:t>
            </w:r>
          </w:p>
        </w:tc>
      </w:tr>
      <w:tr w:rsidR="005C241B" w:rsidRPr="00C0616F" w:rsidTr="00A9049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Applicable Laws</w:t>
            </w:r>
          </w:p>
        </w:tc>
      </w:tr>
      <w:tr w:rsidR="005C241B" w:rsidRPr="00C0616F" w:rsidTr="00A9049E"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Individuals with Disabilities Education Improvement Act (IDEIA) of 2007</w:t>
            </w:r>
            <w:r w:rsidR="00C06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16F">
              <w:rPr>
                <w:rFonts w:ascii="Arial" w:hAnsi="Arial" w:cs="Arial"/>
                <w:sz w:val="16"/>
                <w:szCs w:val="16"/>
              </w:rPr>
              <w:t>Section 504, Rehabilitation Act of 1973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 xml:space="preserve">IDEA is about </w:t>
            </w:r>
            <w:r w:rsidRPr="00C0616F">
              <w:rPr>
                <w:rFonts w:ascii="Arial" w:hAnsi="Arial" w:cs="Arial"/>
                <w:b/>
                <w:i/>
                <w:sz w:val="16"/>
                <w:szCs w:val="16"/>
              </w:rPr>
              <w:t>success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 in school</w:t>
            </w:r>
          </w:p>
        </w:tc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Americans with Disabilities Act of 1990, Title II (ADA.)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 xml:space="preserve"> as amended ADAAA</w:t>
            </w:r>
            <w:r w:rsidR="00C06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 xml:space="preserve">Section 504, Rehabilitation Act of 1973 &amp; ADA are about </w:t>
            </w:r>
            <w:r w:rsidRPr="00C0616F">
              <w:rPr>
                <w:rFonts w:ascii="Arial" w:hAnsi="Arial" w:cs="Arial"/>
                <w:b/>
                <w:i/>
                <w:sz w:val="16"/>
                <w:szCs w:val="16"/>
              </w:rPr>
              <w:t>access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 to facilities, programs, and services</w:t>
            </w:r>
          </w:p>
        </w:tc>
      </w:tr>
      <w:tr w:rsidR="005C241B" w:rsidRPr="00C0616F" w:rsidTr="00A9049E">
        <w:tc>
          <w:tcPr>
            <w:tcW w:w="5000" w:type="pct"/>
            <w:gridSpan w:val="2"/>
          </w:tcPr>
          <w:p w:rsidR="005C241B" w:rsidRPr="00C0616F" w:rsidRDefault="005C241B" w:rsidP="00A90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Required Documentation</w:t>
            </w:r>
          </w:p>
        </w:tc>
      </w:tr>
      <w:tr w:rsidR="005C241B" w:rsidRPr="00C0616F" w:rsidTr="00A9049E"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Individual Education Program (IEP), 504 Plan, and Summary of Performance (SOP)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School provides evaluation at no cost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 xml:space="preserve">Documentation focuses on determining if student is </w:t>
            </w:r>
            <w:r w:rsidR="00CF31B7">
              <w:rPr>
                <w:rFonts w:ascii="Arial" w:hAnsi="Arial" w:cs="Arial"/>
                <w:sz w:val="16"/>
                <w:szCs w:val="16"/>
              </w:rPr>
              <w:t>eligible for services under IDE</w:t>
            </w:r>
            <w:r w:rsidRPr="00C0616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 xml:space="preserve">High school IEP and 504 Plans 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sufficient.  Documentation guidelines specify information needed for 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>documentation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must get evaluation often at their own expense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Documentation must provide information on specific functional limitations and demonstrate the need for spec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>ific services or accommodations</w:t>
            </w:r>
          </w:p>
        </w:tc>
      </w:tr>
      <w:tr w:rsidR="005C241B" w:rsidRPr="00C0616F" w:rsidTr="00A9049E">
        <w:tc>
          <w:tcPr>
            <w:tcW w:w="5000" w:type="pct"/>
            <w:gridSpan w:val="2"/>
          </w:tcPr>
          <w:p w:rsidR="005C241B" w:rsidRPr="00C0616F" w:rsidRDefault="005C241B" w:rsidP="00A90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Self-Advocacy</w:t>
            </w:r>
          </w:p>
        </w:tc>
      </w:tr>
      <w:tr w:rsidR="005C241B" w:rsidRPr="00C0616F" w:rsidTr="00A9049E"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School staff identify the student as having a disability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School staff have responsibility for arranging accommodations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Teachers approach you if they believe you need help and might have a disability</w:t>
            </w:r>
          </w:p>
        </w:tc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 must self-identify to Dis</w:t>
            </w:r>
            <w:r w:rsidR="00C0616F">
              <w:rPr>
                <w:rFonts w:ascii="Arial" w:hAnsi="Arial" w:cs="Arial"/>
                <w:sz w:val="16"/>
                <w:szCs w:val="16"/>
              </w:rPr>
              <w:t>ability Support Services staff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 has responsibility for arranging accommodations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Professors can be open and helpful, but most expect students to initiate contact at the start of the semester</w:t>
            </w:r>
          </w:p>
        </w:tc>
      </w:tr>
      <w:tr w:rsidR="005C241B" w:rsidRPr="00C0616F" w:rsidTr="00A9049E">
        <w:tc>
          <w:tcPr>
            <w:tcW w:w="5000" w:type="pct"/>
            <w:gridSpan w:val="2"/>
            <w:tcBorders>
              <w:bottom w:val="nil"/>
            </w:tcBorders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Parental Role</w:t>
            </w:r>
          </w:p>
        </w:tc>
      </w:tr>
      <w:tr w:rsidR="005C241B" w:rsidRPr="00C0616F" w:rsidTr="00A9049E">
        <w:tc>
          <w:tcPr>
            <w:tcW w:w="2500" w:type="pct"/>
            <w:tcBorders>
              <w:top w:val="nil"/>
              <w:bottom w:val="nil"/>
            </w:tcBorders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Parent has access to student records and can participate in the accommodation process</w:t>
            </w:r>
          </w:p>
          <w:p w:rsidR="005C241B" w:rsidRPr="00C0616F" w:rsidRDefault="001B140C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C241B" w:rsidRPr="00C0616F">
              <w:rPr>
                <w:rFonts w:ascii="Arial" w:hAnsi="Arial" w:cs="Arial"/>
                <w:sz w:val="16"/>
                <w:szCs w:val="16"/>
              </w:rPr>
              <w:t>arent advocates for the student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Parent does not have access to student records and cannot represent the student without student’s written consent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advocate for themselves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41B" w:rsidRPr="00C0616F" w:rsidTr="00A9049E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Instruction</w:t>
            </w:r>
          </w:p>
        </w:tc>
      </w:tr>
      <w:tr w:rsidR="005C241B" w:rsidRPr="00C0616F" w:rsidTr="00A9049E">
        <w:tc>
          <w:tcPr>
            <w:tcW w:w="2500" w:type="pct"/>
            <w:tcBorders>
              <w:top w:val="nil"/>
            </w:tcBorders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Teachers modify curriculum and alter assignments as outlined in the IEP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are expected t</w:t>
            </w:r>
            <w:r w:rsidR="006E0FC7" w:rsidRPr="00C0616F">
              <w:rPr>
                <w:rFonts w:ascii="Arial" w:hAnsi="Arial" w:cs="Arial"/>
                <w:sz w:val="16"/>
                <w:szCs w:val="16"/>
              </w:rPr>
              <w:t>o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 read short assignments that are discussed in class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may need to read assignments more than once, often listening in class is enough</w:t>
            </w:r>
          </w:p>
        </w:tc>
        <w:tc>
          <w:tcPr>
            <w:tcW w:w="2500" w:type="pct"/>
            <w:tcBorders>
              <w:top w:val="nil"/>
            </w:tcBorders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Professors are not required to modify design or alter assignment deadlines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are assigned substantial amounts of reading and writing which may not be directly addressed in class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need to regularly review class notes and text material</w:t>
            </w:r>
          </w:p>
        </w:tc>
      </w:tr>
      <w:tr w:rsidR="005C241B" w:rsidRPr="00C0616F" w:rsidTr="00A9049E">
        <w:tc>
          <w:tcPr>
            <w:tcW w:w="5000" w:type="pct"/>
            <w:gridSpan w:val="2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Grades and Tests</w:t>
            </w:r>
          </w:p>
        </w:tc>
      </w:tr>
      <w:tr w:rsidR="005C241B" w:rsidRPr="00C0616F" w:rsidTr="00A9049E"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IEP or 504 Plan may include modifications to test format or grading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Testing is frequent covering small amounts of material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Makeup test</w:t>
            </w:r>
            <w:r w:rsidR="002C0953">
              <w:rPr>
                <w:rFonts w:ascii="Arial" w:hAnsi="Arial" w:cs="Arial"/>
                <w:sz w:val="16"/>
                <w:szCs w:val="16"/>
              </w:rPr>
              <w:t>s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 are usually available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Teachers often take time to remind students of assignments and due dates</w:t>
            </w:r>
          </w:p>
        </w:tc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 xml:space="preserve">Grading and test format changes (e.g. </w:t>
            </w:r>
            <w:proofErr w:type="gramStart"/>
            <w:r w:rsidRPr="00C0616F">
              <w:rPr>
                <w:rFonts w:ascii="Arial" w:hAnsi="Arial" w:cs="Arial"/>
                <w:sz w:val="16"/>
                <w:szCs w:val="16"/>
              </w:rPr>
              <w:t xml:space="preserve">multiple </w:t>
            </w:r>
            <w:r w:rsidR="00C06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16F">
              <w:rPr>
                <w:rFonts w:ascii="Arial" w:hAnsi="Arial" w:cs="Arial"/>
                <w:sz w:val="16"/>
                <w:szCs w:val="16"/>
              </w:rPr>
              <w:t>choice</w:t>
            </w:r>
            <w:proofErr w:type="gramEnd"/>
            <w:r w:rsidRPr="00C0616F">
              <w:rPr>
                <w:rFonts w:ascii="Arial" w:hAnsi="Arial" w:cs="Arial"/>
                <w:sz w:val="16"/>
                <w:szCs w:val="16"/>
              </w:rPr>
              <w:t xml:space="preserve"> vs. essay) are generally not available.  Accommodations in HOW test</w:t>
            </w:r>
            <w:r w:rsidR="006E0FC7" w:rsidRPr="00C0616F">
              <w:rPr>
                <w:rFonts w:ascii="Arial" w:hAnsi="Arial" w:cs="Arial"/>
                <w:sz w:val="16"/>
                <w:szCs w:val="16"/>
              </w:rPr>
              <w:t>s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 are given (e.g. extended time, test proctors) available when supported by disability documentation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Testing is generally periodic and may be cumulative, covering large amounts of info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Makeup test</w:t>
            </w:r>
            <w:r w:rsidR="002C0953">
              <w:rPr>
                <w:rFonts w:ascii="Arial" w:hAnsi="Arial" w:cs="Arial"/>
                <w:sz w:val="16"/>
                <w:szCs w:val="16"/>
              </w:rPr>
              <w:t>s</w:t>
            </w:r>
            <w:bookmarkStart w:id="0" w:name="_GoBack"/>
            <w:bookmarkEnd w:id="0"/>
            <w:r w:rsidRPr="00C0616F">
              <w:rPr>
                <w:rFonts w:ascii="Arial" w:hAnsi="Arial" w:cs="Arial"/>
                <w:sz w:val="16"/>
                <w:szCs w:val="16"/>
              </w:rPr>
              <w:t xml:space="preserve"> are seldom an option; if they are, students are responsible for requesting them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Professors expect students to read, save, and consult the course syllabus that describes course expectations, assignments and grading scale</w:t>
            </w:r>
          </w:p>
        </w:tc>
      </w:tr>
      <w:tr w:rsidR="005C241B" w:rsidRPr="00C0616F" w:rsidTr="00A9049E">
        <w:tc>
          <w:tcPr>
            <w:tcW w:w="5000" w:type="pct"/>
            <w:gridSpan w:val="2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16F">
              <w:rPr>
                <w:rFonts w:ascii="Arial" w:hAnsi="Arial" w:cs="Arial"/>
                <w:b/>
                <w:sz w:val="16"/>
                <w:szCs w:val="16"/>
              </w:rPr>
              <w:t>Responsibilities for Studying</w:t>
            </w:r>
          </w:p>
        </w:tc>
      </w:tr>
      <w:tr w:rsidR="005C241B" w:rsidRPr="00C0616F" w:rsidTr="00A9049E"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Tutoring and study support may be a service provided as part of an IEP or 504 Plan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School staff often structure students’ time and expected assignments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may study outside of class for as little as 0 to 2 hours a week and this may be mostly last-minute test preparation</w:t>
            </w:r>
          </w:p>
        </w:tc>
        <w:tc>
          <w:tcPr>
            <w:tcW w:w="2500" w:type="pct"/>
          </w:tcPr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with disabilities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>use</w:t>
            </w:r>
            <w:r w:rsidRPr="00C06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3A73" w:rsidRPr="00C0616F">
              <w:rPr>
                <w:rFonts w:ascii="Arial" w:hAnsi="Arial" w:cs="Arial"/>
                <w:sz w:val="16"/>
                <w:szCs w:val="16"/>
              </w:rPr>
              <w:t xml:space="preserve">tutoring resources available to </w:t>
            </w:r>
            <w:r w:rsidRPr="00C0616F">
              <w:rPr>
                <w:rFonts w:ascii="Arial" w:hAnsi="Arial" w:cs="Arial"/>
                <w:sz w:val="16"/>
                <w:szCs w:val="16"/>
              </w:rPr>
              <w:t>all students</w:t>
            </w:r>
          </w:p>
          <w:p w:rsidR="005C241B" w:rsidRPr="00C0616F" w:rsidRDefault="005C241B" w:rsidP="009D27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structure their own time and assignments</w:t>
            </w:r>
          </w:p>
          <w:p w:rsidR="005C241B" w:rsidRPr="00C0616F" w:rsidRDefault="005C241B" w:rsidP="00C0616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616F">
              <w:rPr>
                <w:rFonts w:ascii="Arial" w:hAnsi="Arial" w:cs="Arial"/>
                <w:sz w:val="16"/>
                <w:szCs w:val="16"/>
              </w:rPr>
              <w:t>Students usually need to study at least 2 to 3 hours for each hour in class</w:t>
            </w:r>
          </w:p>
        </w:tc>
      </w:tr>
    </w:tbl>
    <w:p w:rsidR="005C241B" w:rsidRDefault="005C241B" w:rsidP="005C241B"/>
    <w:sectPr w:rsidR="005C241B" w:rsidSect="00C06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F20"/>
    <w:multiLevelType w:val="hybridMultilevel"/>
    <w:tmpl w:val="6A38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5DED"/>
    <w:multiLevelType w:val="hybridMultilevel"/>
    <w:tmpl w:val="445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3FD0"/>
    <w:multiLevelType w:val="hybridMultilevel"/>
    <w:tmpl w:val="7C1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67AC"/>
    <w:multiLevelType w:val="hybridMultilevel"/>
    <w:tmpl w:val="19A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6AD4"/>
    <w:multiLevelType w:val="hybridMultilevel"/>
    <w:tmpl w:val="3474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165E"/>
    <w:multiLevelType w:val="hybridMultilevel"/>
    <w:tmpl w:val="2B2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938E1"/>
    <w:multiLevelType w:val="hybridMultilevel"/>
    <w:tmpl w:val="ABD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47"/>
    <w:rsid w:val="00007C2E"/>
    <w:rsid w:val="00032B34"/>
    <w:rsid w:val="00046802"/>
    <w:rsid w:val="00085092"/>
    <w:rsid w:val="000875D7"/>
    <w:rsid w:val="00096E4A"/>
    <w:rsid w:val="000B0590"/>
    <w:rsid w:val="000B220B"/>
    <w:rsid w:val="000C4BC4"/>
    <w:rsid w:val="000D2461"/>
    <w:rsid w:val="000D4E58"/>
    <w:rsid w:val="000E0A67"/>
    <w:rsid w:val="00100542"/>
    <w:rsid w:val="00143321"/>
    <w:rsid w:val="00147CCE"/>
    <w:rsid w:val="00173995"/>
    <w:rsid w:val="001B140C"/>
    <w:rsid w:val="001C13E1"/>
    <w:rsid w:val="001C2228"/>
    <w:rsid w:val="001E45C8"/>
    <w:rsid w:val="001E6DFD"/>
    <w:rsid w:val="00240A3C"/>
    <w:rsid w:val="002477E1"/>
    <w:rsid w:val="00264701"/>
    <w:rsid w:val="002B4151"/>
    <w:rsid w:val="002C0953"/>
    <w:rsid w:val="002E3A73"/>
    <w:rsid w:val="002E7897"/>
    <w:rsid w:val="00305C58"/>
    <w:rsid w:val="00305E9D"/>
    <w:rsid w:val="00330CDD"/>
    <w:rsid w:val="00341899"/>
    <w:rsid w:val="003454D1"/>
    <w:rsid w:val="00351454"/>
    <w:rsid w:val="00381747"/>
    <w:rsid w:val="003A085B"/>
    <w:rsid w:val="003B2D48"/>
    <w:rsid w:val="003C7F30"/>
    <w:rsid w:val="003D30B5"/>
    <w:rsid w:val="003D5904"/>
    <w:rsid w:val="003E5002"/>
    <w:rsid w:val="0041096B"/>
    <w:rsid w:val="0042706D"/>
    <w:rsid w:val="00446AA7"/>
    <w:rsid w:val="00475614"/>
    <w:rsid w:val="0047606B"/>
    <w:rsid w:val="004A02F6"/>
    <w:rsid w:val="004A7C9E"/>
    <w:rsid w:val="004B769A"/>
    <w:rsid w:val="004C7986"/>
    <w:rsid w:val="004D5477"/>
    <w:rsid w:val="00524565"/>
    <w:rsid w:val="005525A2"/>
    <w:rsid w:val="00562935"/>
    <w:rsid w:val="00567B3C"/>
    <w:rsid w:val="00575D08"/>
    <w:rsid w:val="005776C3"/>
    <w:rsid w:val="005C241B"/>
    <w:rsid w:val="00614D42"/>
    <w:rsid w:val="00616B51"/>
    <w:rsid w:val="006245CC"/>
    <w:rsid w:val="006277AD"/>
    <w:rsid w:val="00645604"/>
    <w:rsid w:val="00652B63"/>
    <w:rsid w:val="00655290"/>
    <w:rsid w:val="00697F8E"/>
    <w:rsid w:val="006C157A"/>
    <w:rsid w:val="006C59FB"/>
    <w:rsid w:val="006E0FC7"/>
    <w:rsid w:val="00742D5C"/>
    <w:rsid w:val="00770041"/>
    <w:rsid w:val="00775BED"/>
    <w:rsid w:val="00782EFE"/>
    <w:rsid w:val="007874ED"/>
    <w:rsid w:val="007A46DC"/>
    <w:rsid w:val="007A685A"/>
    <w:rsid w:val="007B5024"/>
    <w:rsid w:val="007C0AFD"/>
    <w:rsid w:val="007D0FAE"/>
    <w:rsid w:val="007D2AE1"/>
    <w:rsid w:val="007E3B15"/>
    <w:rsid w:val="00821124"/>
    <w:rsid w:val="0086496F"/>
    <w:rsid w:val="00874408"/>
    <w:rsid w:val="00882CDB"/>
    <w:rsid w:val="00895D0D"/>
    <w:rsid w:val="008A4E71"/>
    <w:rsid w:val="008F140E"/>
    <w:rsid w:val="00942816"/>
    <w:rsid w:val="00981582"/>
    <w:rsid w:val="00981B45"/>
    <w:rsid w:val="009B4431"/>
    <w:rsid w:val="009B4A6A"/>
    <w:rsid w:val="009E2C41"/>
    <w:rsid w:val="00A05573"/>
    <w:rsid w:val="00A20CBB"/>
    <w:rsid w:val="00A357F8"/>
    <w:rsid w:val="00A544AC"/>
    <w:rsid w:val="00A5580D"/>
    <w:rsid w:val="00A57EE5"/>
    <w:rsid w:val="00A65077"/>
    <w:rsid w:val="00A71DE1"/>
    <w:rsid w:val="00A76254"/>
    <w:rsid w:val="00A9049E"/>
    <w:rsid w:val="00A94CE9"/>
    <w:rsid w:val="00AA3F89"/>
    <w:rsid w:val="00AC33A1"/>
    <w:rsid w:val="00AC6A33"/>
    <w:rsid w:val="00AC7790"/>
    <w:rsid w:val="00AD4B08"/>
    <w:rsid w:val="00B64FB7"/>
    <w:rsid w:val="00B7759A"/>
    <w:rsid w:val="00BA60CE"/>
    <w:rsid w:val="00BB3986"/>
    <w:rsid w:val="00BE1022"/>
    <w:rsid w:val="00BE2568"/>
    <w:rsid w:val="00C04289"/>
    <w:rsid w:val="00C0616F"/>
    <w:rsid w:val="00C2300B"/>
    <w:rsid w:val="00C33D52"/>
    <w:rsid w:val="00C4095F"/>
    <w:rsid w:val="00C44C9D"/>
    <w:rsid w:val="00C455E3"/>
    <w:rsid w:val="00C55852"/>
    <w:rsid w:val="00C6752A"/>
    <w:rsid w:val="00C85FB4"/>
    <w:rsid w:val="00CA66DB"/>
    <w:rsid w:val="00CB1957"/>
    <w:rsid w:val="00CB1C20"/>
    <w:rsid w:val="00CB55AE"/>
    <w:rsid w:val="00CC1FF7"/>
    <w:rsid w:val="00CF2B50"/>
    <w:rsid w:val="00CF31B7"/>
    <w:rsid w:val="00CF6B3F"/>
    <w:rsid w:val="00D067C4"/>
    <w:rsid w:val="00D13FB7"/>
    <w:rsid w:val="00D26C8A"/>
    <w:rsid w:val="00D46D86"/>
    <w:rsid w:val="00D83507"/>
    <w:rsid w:val="00DB66D5"/>
    <w:rsid w:val="00DC643D"/>
    <w:rsid w:val="00DF3544"/>
    <w:rsid w:val="00E0065D"/>
    <w:rsid w:val="00E032CC"/>
    <w:rsid w:val="00E04BFE"/>
    <w:rsid w:val="00E06C52"/>
    <w:rsid w:val="00E24097"/>
    <w:rsid w:val="00E836DB"/>
    <w:rsid w:val="00EB056B"/>
    <w:rsid w:val="00ED0895"/>
    <w:rsid w:val="00EE3125"/>
    <w:rsid w:val="00F30520"/>
    <w:rsid w:val="00F62AD8"/>
    <w:rsid w:val="00F635FA"/>
    <w:rsid w:val="00F7480F"/>
    <w:rsid w:val="00F76B6F"/>
    <w:rsid w:val="00F83DF6"/>
    <w:rsid w:val="00F93E28"/>
    <w:rsid w:val="00FA3247"/>
    <w:rsid w:val="00FA7724"/>
    <w:rsid w:val="00FB3C64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1B"/>
    <w:rPr>
      <w:color w:val="0000FF" w:themeColor="hyperlink"/>
      <w:u w:val="single"/>
    </w:rPr>
  </w:style>
  <w:style w:type="character" w:customStyle="1" w:styleId="pagecol21">
    <w:name w:val="pagecol21"/>
    <w:basedOn w:val="DefaultParagraphFont"/>
    <w:rsid w:val="00C04289"/>
    <w:rPr>
      <w:rFonts w:ascii="Arial" w:hAnsi="Arial" w:cs="Arial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1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1B"/>
    <w:rPr>
      <w:color w:val="0000FF" w:themeColor="hyperlink"/>
      <w:u w:val="single"/>
    </w:rPr>
  </w:style>
  <w:style w:type="character" w:customStyle="1" w:styleId="pagecol21">
    <w:name w:val="pagecol21"/>
    <w:basedOn w:val="DefaultParagraphFont"/>
    <w:rsid w:val="00C04289"/>
    <w:rPr>
      <w:rFonts w:ascii="Arial" w:hAnsi="Arial" w:cs="Arial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1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pub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ahotc.com/secondary-transition/Docum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David Klungle</cp:lastModifiedBy>
  <cp:revision>3</cp:revision>
  <dcterms:created xsi:type="dcterms:W3CDTF">2014-02-28T20:58:00Z</dcterms:created>
  <dcterms:modified xsi:type="dcterms:W3CDTF">2014-02-28T21:10:00Z</dcterms:modified>
</cp:coreProperties>
</file>