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799"/>
        <w:gridCol w:w="216"/>
        <w:gridCol w:w="1700"/>
        <w:gridCol w:w="274"/>
        <w:gridCol w:w="274"/>
        <w:gridCol w:w="274"/>
        <w:gridCol w:w="274"/>
        <w:gridCol w:w="1925"/>
        <w:gridCol w:w="1966"/>
        <w:gridCol w:w="274"/>
        <w:gridCol w:w="232"/>
        <w:gridCol w:w="275"/>
      </w:tblGrid>
      <w:tr w:rsidR="0021485A" w:rsidRPr="0021485A" w14:paraId="7F9E45DD" w14:textId="77777777" w:rsidTr="00BE6683">
        <w:trPr>
          <w:trHeight w:val="6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1931F5" w14:textId="77777777" w:rsidR="0021485A" w:rsidRPr="0021485A" w:rsidRDefault="0021485A" w:rsidP="00214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b/>
                <w:bCs/>
                <w:color w:val="000000"/>
              </w:rPr>
              <w:t>Lesson Plan</w:t>
            </w:r>
            <w:r w:rsidR="00E85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Unit </w:t>
            </w:r>
            <w:r w:rsidR="00F96ED0">
              <w:rPr>
                <w:rFonts w:ascii="Calibri" w:eastAsia="Times New Roman" w:hAnsi="Calibri" w:cs="Times New Roman"/>
                <w:b/>
                <w:bCs/>
                <w:color w:val="000000"/>
              </w:rPr>
              <w:t>3: DVR</w:t>
            </w:r>
            <w:r w:rsidR="00E85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Lesson </w:t>
            </w:r>
          </w:p>
        </w:tc>
      </w:tr>
      <w:tr w:rsidR="0021485A" w:rsidRPr="0021485A" w14:paraId="5898569B" w14:textId="77777777" w:rsidTr="009E3316">
        <w:trPr>
          <w:trHeight w:val="169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286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65BEDE35" w14:textId="77777777" w:rsidTr="009E3316">
        <w:trPr>
          <w:trHeight w:val="529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F4FBF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Subject/Course:</w:t>
            </w:r>
          </w:p>
        </w:tc>
        <w:tc>
          <w:tcPr>
            <w:tcW w:w="766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3519E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85322">
              <w:rPr>
                <w:rFonts w:ascii="Calibri" w:eastAsia="Times New Roman" w:hAnsi="Calibri" w:cs="Times New Roman"/>
                <w:color w:val="000000"/>
              </w:rPr>
              <w:t>Secondary Transition – Self-Determination and Advocacy</w:t>
            </w:r>
          </w:p>
        </w:tc>
      </w:tr>
      <w:tr w:rsidR="0021485A" w:rsidRPr="0021485A" w14:paraId="65CD0579" w14:textId="77777777" w:rsidTr="009E3316">
        <w:trPr>
          <w:trHeight w:val="431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F7FDB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Topic: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8D4EA" w14:textId="77777777" w:rsidR="0021485A" w:rsidRPr="0021485A" w:rsidRDefault="0021485A" w:rsidP="006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82217">
              <w:rPr>
                <w:rFonts w:ascii="Calibri" w:eastAsia="Times New Roman" w:hAnsi="Calibri" w:cs="Times New Roman"/>
                <w:color w:val="000000"/>
              </w:rPr>
              <w:t>Adult Services</w:t>
            </w:r>
          </w:p>
        </w:tc>
      </w:tr>
      <w:tr w:rsidR="0021485A" w:rsidRPr="0021485A" w14:paraId="48EF74F7" w14:textId="77777777" w:rsidTr="009E3316">
        <w:trPr>
          <w:trHeight w:val="53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7E587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 xml:space="preserve">Lesson Title: 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D151B" w14:textId="77777777" w:rsidR="0021485A" w:rsidRPr="0021485A" w:rsidRDefault="0021485A" w:rsidP="00F9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96ED0">
              <w:rPr>
                <w:rFonts w:ascii="Calibri" w:eastAsia="Times New Roman" w:hAnsi="Calibri" w:cs="Times New Roman"/>
                <w:color w:val="000000"/>
              </w:rPr>
              <w:t>Identifying Adult Service Providers and Eligibility Criteria</w:t>
            </w:r>
          </w:p>
        </w:tc>
      </w:tr>
      <w:tr w:rsidR="00BE5671" w:rsidRPr="0021485A" w14:paraId="368BD6C4" w14:textId="77777777" w:rsidTr="009E3316">
        <w:trPr>
          <w:trHeight w:val="53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6FE80" w14:textId="77777777" w:rsidR="00BE5671" w:rsidRPr="00BE5671" w:rsidRDefault="00BE5671" w:rsidP="00BE5671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 xml:space="preserve">Level: 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3503" w14:textId="77777777" w:rsidR="00BE5671" w:rsidRPr="00BE5671" w:rsidRDefault="00E85322" w:rsidP="00BE5671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Grades 9 - 12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49CFE" w14:textId="77777777" w:rsidR="00BE5671" w:rsidRPr="0021485A" w:rsidRDefault="00BE5671" w:rsidP="00BE5671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Lesson Duration: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77B24" w14:textId="77777777" w:rsidR="00BE5671" w:rsidRPr="0021485A" w:rsidRDefault="00F96ED0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45-60</w:t>
            </w:r>
            <w:r w:rsidR="00E85322">
              <w:rPr>
                <w:rFonts w:ascii="Calibri" w:eastAsia="Times New Roman" w:hAnsi="Calibri" w:cs="Times New Roman"/>
                <w:color w:val="000000"/>
              </w:rPr>
              <w:t xml:space="preserve"> minutes</w:t>
            </w:r>
          </w:p>
        </w:tc>
      </w:tr>
      <w:tr w:rsidR="0021485A" w:rsidRPr="0021485A" w14:paraId="76B0092B" w14:textId="77777777" w:rsidTr="009E3316">
        <w:trPr>
          <w:trHeight w:val="160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A02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3007239C" w14:textId="77777777" w:rsidTr="00BE6683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CAA89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Lesson Objective:</w:t>
            </w:r>
          </w:p>
        </w:tc>
      </w:tr>
      <w:tr w:rsidR="0021485A" w:rsidRPr="0021485A" w14:paraId="6E1DAE5B" w14:textId="77777777" w:rsidTr="00BE6683">
        <w:trPr>
          <w:trHeight w:val="280"/>
        </w:trPr>
        <w:tc>
          <w:tcPr>
            <w:tcW w:w="948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CEDE959" w14:textId="09DC9E5C" w:rsidR="0021485A" w:rsidRPr="00F16815" w:rsidRDefault="00043A42" w:rsidP="00F168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815">
              <w:rPr>
                <w:rFonts w:ascii="Calibri" w:eastAsia="Times New Roman" w:hAnsi="Calibri" w:cs="Times New Roman"/>
                <w:color w:val="000000"/>
              </w:rPr>
              <w:t>The students will be able to identify three adult services and the eligibility</w:t>
            </w:r>
            <w:r w:rsidR="00C727AE">
              <w:rPr>
                <w:rFonts w:ascii="Calibri" w:eastAsia="Times New Roman" w:hAnsi="Calibri" w:cs="Times New Roman"/>
                <w:color w:val="000000"/>
              </w:rPr>
              <w:t xml:space="preserve"> criteria</w:t>
            </w:r>
            <w:r w:rsidRPr="00F1681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1485A" w:rsidRPr="0021485A" w14:paraId="16FC250F" w14:textId="77777777" w:rsidTr="0021485A">
        <w:trPr>
          <w:trHeight w:val="269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6CDA7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7980427A" w14:textId="77777777" w:rsidTr="0021485A">
        <w:trPr>
          <w:trHeight w:val="269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67C6D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6DCFC988" w14:textId="77777777" w:rsidTr="0021485A">
        <w:trPr>
          <w:trHeight w:val="269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33D34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7EFDF9F8" w14:textId="77777777" w:rsidTr="009E3316">
        <w:trPr>
          <w:trHeight w:val="214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7D9" w14:textId="77777777" w:rsidR="0021485A" w:rsidRPr="0021485A" w:rsidRDefault="0021485A" w:rsidP="00214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68FF38A2" w14:textId="77777777" w:rsidTr="00BE6683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B8CA3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 xml:space="preserve">Summary of Tasks/Actions: </w:t>
            </w:r>
          </w:p>
        </w:tc>
      </w:tr>
      <w:tr w:rsidR="0021485A" w:rsidRPr="0021485A" w14:paraId="5183D2ED" w14:textId="77777777" w:rsidTr="00BE6683">
        <w:trPr>
          <w:trHeight w:val="540"/>
        </w:trPr>
        <w:tc>
          <w:tcPr>
            <w:tcW w:w="948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22C7C97" w14:textId="09BF54CD" w:rsidR="0091250E" w:rsidRPr="006D5DA8" w:rsidRDefault="0091250E" w:rsidP="009125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>Talk to the students about adult services:</w:t>
            </w:r>
          </w:p>
          <w:p w14:paraId="1FB46940" w14:textId="77777777" w:rsidR="0091250E" w:rsidRPr="006D5DA8" w:rsidRDefault="00043A42" w:rsidP="009125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>Believe it or not, there are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>even more ways to define disability in the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>adult-services world. The definitions reflect</w:t>
            </w:r>
            <w:r w:rsidR="0091250E" w:rsidRPr="006D5DA8">
              <w:rPr>
                <w:rFonts w:cs="BookAntiqua"/>
              </w:rPr>
              <w:t xml:space="preserve"> “eligibility </w:t>
            </w:r>
            <w:r w:rsidRPr="006D5DA8">
              <w:rPr>
                <w:rFonts w:cs="BookAntiqua"/>
              </w:rPr>
              <w:t>criteria” such as your financial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>situation, the severity of your disability, and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>your age, among other characteristics. In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>order to be eligible for adult services, you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>need to meet the eligibility criteria established</w:t>
            </w:r>
            <w:r w:rsidR="0091250E" w:rsidRPr="006D5DA8">
              <w:rPr>
                <w:rFonts w:cs="BookAntiqua"/>
              </w:rPr>
              <w:t xml:space="preserve"> </w:t>
            </w:r>
            <w:r w:rsidRPr="006D5DA8">
              <w:rPr>
                <w:rFonts w:cs="BookAntiqua"/>
              </w:rPr>
              <w:t xml:space="preserve">for </w:t>
            </w:r>
            <w:r w:rsidRPr="006D5DA8">
              <w:rPr>
                <w:rFonts w:cs="BookAntiqua-Bold"/>
                <w:b/>
                <w:bCs/>
              </w:rPr>
              <w:t xml:space="preserve">each </w:t>
            </w:r>
            <w:r w:rsidRPr="006D5DA8">
              <w:rPr>
                <w:rFonts w:cs="BookAntiqua"/>
              </w:rPr>
              <w:t xml:space="preserve">specific service you are requesting. </w:t>
            </w:r>
          </w:p>
          <w:p w14:paraId="67367F29" w14:textId="6FB3E5F8" w:rsidR="0091250E" w:rsidRDefault="0091250E" w:rsidP="009125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>Pass out a list of the Adult Services/Websites/Resource for Disability Organizations</w:t>
            </w:r>
            <w:r w:rsidR="00C727AE">
              <w:rPr>
                <w:rFonts w:cs="BookAntiqua"/>
              </w:rPr>
              <w:t>.</w:t>
            </w:r>
            <w:r w:rsidR="000A014E">
              <w:rPr>
                <w:rFonts w:cs="BookAntiqua"/>
              </w:rPr>
              <w:t xml:space="preserve"> Review with students how it is organized. </w:t>
            </w:r>
          </w:p>
          <w:p w14:paraId="26258DD8" w14:textId="4CC70E30" w:rsidR="000A014E" w:rsidRPr="006D5DA8" w:rsidRDefault="000A014E" w:rsidP="009125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>
              <w:rPr>
                <w:rFonts w:cs="BookAntiqua"/>
              </w:rPr>
              <w:t xml:space="preserve">Open the following two websites: </w:t>
            </w:r>
            <w:hyperlink r:id="rId6" w:history="1">
              <w:r w:rsidR="00F96B56" w:rsidRPr="003D3D9F">
                <w:rPr>
                  <w:rStyle w:val="Hyperlink"/>
                  <w:rFonts w:cs="BookAntiqua"/>
                </w:rPr>
                <w:t>www.disabilityrightsidaho.org</w:t>
              </w:r>
            </w:hyperlink>
            <w:r w:rsidR="00F96B56">
              <w:rPr>
                <w:rFonts w:cs="BookAntiqua"/>
              </w:rPr>
              <w:t xml:space="preserve"> (discuss how this website has information on SSI and the benefits of working as well as a support for any discrimination and </w:t>
            </w:r>
            <w:hyperlink r:id="rId7" w:history="1">
              <w:r w:rsidR="00F96B56" w:rsidRPr="003D3D9F">
                <w:rPr>
                  <w:rStyle w:val="Hyperlink"/>
                  <w:rFonts w:cs="BookAntiqua"/>
                </w:rPr>
                <w:t>http://www.idahoat.org/</w:t>
              </w:r>
            </w:hyperlink>
            <w:r w:rsidR="00F96B56">
              <w:rPr>
                <w:rFonts w:cs="BookAntiqua"/>
              </w:rPr>
              <w:t xml:space="preserve"> (discuss how they can help find assistive technology that can be helpful in college or access jobs). </w:t>
            </w:r>
          </w:p>
          <w:p w14:paraId="30B9299A" w14:textId="77777777" w:rsidR="0091250E" w:rsidRPr="006D5DA8" w:rsidRDefault="0091250E" w:rsidP="009125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>DVR will briefly review the list as students follow along.</w:t>
            </w:r>
          </w:p>
          <w:p w14:paraId="4A7DCD64" w14:textId="77777777" w:rsidR="0091250E" w:rsidRPr="006D5DA8" w:rsidRDefault="0091250E" w:rsidP="009125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 xml:space="preserve">Students will work in pairs or other groupings (or by themselves) to find/star at least three services that they would find useful in the future. </w:t>
            </w:r>
          </w:p>
          <w:p w14:paraId="573D4400" w14:textId="77777777" w:rsidR="0091250E" w:rsidRPr="006D5DA8" w:rsidRDefault="00146663" w:rsidP="009125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>Students will share out their top three as the DVR instructor tallies the number for each service.</w:t>
            </w:r>
          </w:p>
          <w:p w14:paraId="6466A990" w14:textId="77777777" w:rsidR="00BE5671" w:rsidRPr="009E3316" w:rsidRDefault="00146663" w:rsidP="009E331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ookAntiqua"/>
              </w:rPr>
            </w:pPr>
            <w:r w:rsidRPr="006D5DA8">
              <w:rPr>
                <w:rFonts w:cs="BookAntiqua"/>
              </w:rPr>
              <w:t>The DVR instructor will visit the web-sites of the top three that the students have chosen and review the information and eligibility criteria on each site.</w:t>
            </w:r>
            <w:bookmarkStart w:id="0" w:name="_GoBack"/>
            <w:bookmarkEnd w:id="0"/>
          </w:p>
        </w:tc>
      </w:tr>
      <w:tr w:rsidR="0021485A" w:rsidRPr="0021485A" w14:paraId="2B7EE3D3" w14:textId="77777777" w:rsidTr="0021485A">
        <w:trPr>
          <w:trHeight w:val="54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FB13A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4365DC6E" w14:textId="77777777" w:rsidTr="0021485A">
        <w:trPr>
          <w:trHeight w:val="465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6E2C1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13471698" w14:textId="77777777" w:rsidTr="0021485A">
        <w:trPr>
          <w:trHeight w:val="435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64B64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4493C68F" w14:textId="77777777" w:rsidTr="0021485A">
        <w:trPr>
          <w:trHeight w:val="54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A81D6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37B0DFD1" w14:textId="77777777" w:rsidTr="0021485A">
        <w:trPr>
          <w:trHeight w:val="54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5314A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34DE0C1F" w14:textId="77777777" w:rsidTr="0021485A">
        <w:trPr>
          <w:trHeight w:val="448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71930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19AA2676" w14:textId="77777777" w:rsidTr="0021485A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D841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0B07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0E71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B7B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CC6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5F85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81E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8D4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65D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1AA81FDA" w14:textId="77777777" w:rsidTr="00BE6683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924D31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Materials/Equipment:</w:t>
            </w:r>
          </w:p>
        </w:tc>
      </w:tr>
      <w:tr w:rsidR="0021485A" w:rsidRPr="0021485A" w14:paraId="58CDF574" w14:textId="77777777" w:rsidTr="00BE6683">
        <w:trPr>
          <w:trHeight w:val="300"/>
        </w:trPr>
        <w:tc>
          <w:tcPr>
            <w:tcW w:w="948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EDAB9E0" w14:textId="77777777" w:rsidR="0021485A" w:rsidRDefault="00146663" w:rsidP="001466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Access to website/projector</w:t>
            </w:r>
          </w:p>
          <w:p w14:paraId="68198B62" w14:textId="638A3DEC" w:rsidR="00146663" w:rsidRDefault="00146663" w:rsidP="001466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Packets of Websites/Resources Disability Organizations</w:t>
            </w:r>
            <w:r w:rsidR="00C727AE">
              <w:rPr>
                <w:rFonts w:ascii="Calibri" w:eastAsia="Times New Roman" w:hAnsi="Calibri" w:cs="Times New Roman"/>
                <w:color w:val="000000"/>
              </w:rPr>
              <w:t xml:space="preserve"> (1 per student) </w:t>
            </w:r>
          </w:p>
          <w:p w14:paraId="3705139B" w14:textId="77777777" w:rsidR="00146663" w:rsidRPr="00146663" w:rsidRDefault="00146663" w:rsidP="001466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Pencils/pens</w:t>
            </w:r>
          </w:p>
        </w:tc>
      </w:tr>
      <w:tr w:rsidR="0021485A" w:rsidRPr="0021485A" w14:paraId="046C5C06" w14:textId="77777777" w:rsidTr="0021485A">
        <w:trPr>
          <w:trHeight w:val="30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E3C4D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108D928D" w14:textId="77777777" w:rsidTr="0021485A">
        <w:trPr>
          <w:trHeight w:val="30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30402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6FE0B36B" w14:textId="77777777" w:rsidTr="009E3316">
        <w:trPr>
          <w:trHeight w:val="269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BEC30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345E0F00" w14:textId="77777777" w:rsidTr="009E3316">
        <w:trPr>
          <w:trHeight w:val="142"/>
        </w:trPr>
        <w:tc>
          <w:tcPr>
            <w:tcW w:w="37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02BD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D1AC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7220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09C5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FA3BC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1C9D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B183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DFCF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7CD5C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39705F73" w14:textId="77777777" w:rsidTr="009E3316">
        <w:trPr>
          <w:trHeight w:val="2527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23EE8" w14:textId="77777777" w:rsid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References: </w:t>
            </w:r>
          </w:p>
          <w:p w14:paraId="14E3FDD6" w14:textId="77777777" w:rsidR="00146663" w:rsidRPr="00F16815" w:rsidRDefault="00146663" w:rsidP="00F168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815">
              <w:rPr>
                <w:rFonts w:ascii="Calibri" w:eastAsia="Times New Roman" w:hAnsi="Calibri" w:cs="Times New Roman"/>
                <w:color w:val="000000"/>
              </w:rPr>
              <w:t xml:space="preserve">Moving On Binder – Idaho Transition Binder, Idaho Interagency Council on Secondary </w:t>
            </w:r>
            <w:proofErr w:type="gramStart"/>
            <w:r w:rsidRPr="00F16815">
              <w:rPr>
                <w:rFonts w:ascii="Calibri" w:eastAsia="Times New Roman" w:hAnsi="Calibri" w:cs="Times New Roman"/>
                <w:color w:val="000000"/>
              </w:rPr>
              <w:t>Transition ,</w:t>
            </w:r>
            <w:proofErr w:type="gramEnd"/>
            <w:r w:rsidRPr="00F16815">
              <w:rPr>
                <w:rFonts w:ascii="Calibri" w:eastAsia="Times New Roman" w:hAnsi="Calibri" w:cs="Times New Roman"/>
                <w:color w:val="000000"/>
              </w:rPr>
              <w:t xml:space="preserve"> Idaho Department of Education</w:t>
            </w:r>
            <w:r w:rsidR="008C7ABC" w:rsidRPr="00F1681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hyperlink r:id="rId8" w:history="1">
              <w:r w:rsidR="008C7ABC" w:rsidRPr="00F16815">
                <w:rPr>
                  <w:rStyle w:val="Hyperlink"/>
                  <w:rFonts w:ascii="Calibri" w:eastAsia="Times New Roman" w:hAnsi="Calibri" w:cs="Times New Roman"/>
                </w:rPr>
                <w:t>http://idahotc.com/Portals/29/Secondary%20Transition%20Docs/Moving%20On%20Binder%202013.pdf</w:t>
              </w:r>
            </w:hyperlink>
            <w:r w:rsidR="008C7ABC" w:rsidRPr="00F168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98DAD06" w14:textId="77777777" w:rsidR="008C7ABC" w:rsidRDefault="008C7ABC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336E16" w14:textId="77777777" w:rsidR="008C7ABC" w:rsidRDefault="008C7ABC" w:rsidP="00F16815">
            <w:pPr>
              <w:pStyle w:val="ListParagraph"/>
              <w:numPr>
                <w:ilvl w:val="0"/>
                <w:numId w:val="6"/>
              </w:numPr>
            </w:pPr>
            <w:r w:rsidRPr="00F16815">
              <w:rPr>
                <w:i/>
              </w:rPr>
              <w:t xml:space="preserve">Skills to Pay the Bills – Mastering Soft Skills for Workplace Success. </w:t>
            </w:r>
            <w:r>
              <w:t xml:space="preserve"> U.S. Department of Labor, Office of Disability Employment Policy. </w:t>
            </w:r>
            <w:hyperlink r:id="rId9" w:history="1">
              <w:r w:rsidRPr="00F242B2">
                <w:rPr>
                  <w:rStyle w:val="Hyperlink"/>
                </w:rPr>
                <w:t>http://www.dol.gov/odep/topics/youth/softskills/</w:t>
              </w:r>
            </w:hyperlink>
            <w:r>
              <w:t xml:space="preserve"> </w:t>
            </w:r>
          </w:p>
          <w:p w14:paraId="1F131098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5A" w:rsidRPr="0021485A" w14:paraId="04D8328D" w14:textId="77777777" w:rsidTr="0021485A">
        <w:trPr>
          <w:trHeight w:val="300"/>
        </w:trPr>
        <w:tc>
          <w:tcPr>
            <w:tcW w:w="373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C84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3058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93F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13B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8E1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E69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7B5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45F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46BD48" w14:textId="77777777" w:rsidR="0021485A" w:rsidRPr="0021485A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8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517F1F5" w14:textId="77777777" w:rsidR="0089712C" w:rsidRDefault="0089712C"/>
    <w:sectPr w:rsidR="0089712C" w:rsidSect="002148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1D8"/>
    <w:multiLevelType w:val="hybridMultilevel"/>
    <w:tmpl w:val="72A0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C33"/>
    <w:multiLevelType w:val="hybridMultilevel"/>
    <w:tmpl w:val="A1AA8C0E"/>
    <w:lvl w:ilvl="0" w:tplc="84F41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2FDF"/>
    <w:multiLevelType w:val="hybridMultilevel"/>
    <w:tmpl w:val="F31ADF7E"/>
    <w:lvl w:ilvl="0" w:tplc="9CE0B0A4">
      <w:start w:val="1"/>
      <w:numFmt w:val="decimal"/>
      <w:lvlText w:val="%1."/>
      <w:lvlJc w:val="left"/>
      <w:pPr>
        <w:ind w:left="1230" w:hanging="870"/>
      </w:pPr>
      <w:rPr>
        <w:rFonts w:ascii="Chalkboard" w:hAnsi="Chalkboard" w:cs="Chalkboard" w:hint="default"/>
        <w:sz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44A0"/>
    <w:multiLevelType w:val="hybridMultilevel"/>
    <w:tmpl w:val="668431B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7585E"/>
    <w:multiLevelType w:val="hybridMultilevel"/>
    <w:tmpl w:val="2A38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7E1A"/>
    <w:multiLevelType w:val="hybridMultilevel"/>
    <w:tmpl w:val="C16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5A"/>
    <w:rsid w:val="00043A42"/>
    <w:rsid w:val="000A014E"/>
    <w:rsid w:val="00146663"/>
    <w:rsid w:val="0021485A"/>
    <w:rsid w:val="00314E02"/>
    <w:rsid w:val="003568FB"/>
    <w:rsid w:val="00605D70"/>
    <w:rsid w:val="00682217"/>
    <w:rsid w:val="006D5DA8"/>
    <w:rsid w:val="007064B0"/>
    <w:rsid w:val="007C74C6"/>
    <w:rsid w:val="0089712C"/>
    <w:rsid w:val="008C7ABC"/>
    <w:rsid w:val="0091250E"/>
    <w:rsid w:val="009E3316"/>
    <w:rsid w:val="00A520B4"/>
    <w:rsid w:val="00A64402"/>
    <w:rsid w:val="00B75183"/>
    <w:rsid w:val="00BE5671"/>
    <w:rsid w:val="00BE6683"/>
    <w:rsid w:val="00C727AE"/>
    <w:rsid w:val="00E85322"/>
    <w:rsid w:val="00F16815"/>
    <w:rsid w:val="00F71BD5"/>
    <w:rsid w:val="00F96B56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5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sabilityrightsidaho.org" TargetMode="External"/><Relationship Id="rId7" Type="http://schemas.openxmlformats.org/officeDocument/2006/relationships/hyperlink" Target="http://www.idahoat.org/" TargetMode="External"/><Relationship Id="rId8" Type="http://schemas.openxmlformats.org/officeDocument/2006/relationships/hyperlink" Target="http://idahotc.com/Portals/29/Secondary%20Transition%20Docs/Moving%20On%20Binder%202013.pdf" TargetMode="External"/><Relationship Id="rId9" Type="http://schemas.openxmlformats.org/officeDocument/2006/relationships/hyperlink" Target="http://www.dol.gov/odep/topics/youth/softskill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College of Education</cp:lastModifiedBy>
  <cp:revision>2</cp:revision>
  <dcterms:created xsi:type="dcterms:W3CDTF">2014-06-27T17:16:00Z</dcterms:created>
  <dcterms:modified xsi:type="dcterms:W3CDTF">2014-06-27T17:16:00Z</dcterms:modified>
</cp:coreProperties>
</file>